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Heat morbidity and mortality - Incomplete adaptation</w:t>
      </w:r>
    </w:p>
    <w:tbl>
      <w:tblPr>
        <w:tblW w:type="auto" w:w="0"/>
        <w:tblLook w:firstColumn="1" w:firstRow="1" w:lastColumn="0" w:lastRow="0" w:noHBand="0" w:noVBand="1" w:val="04A0"/>
      </w:tblPr>
      <w:tblGrid>
        <w:gridCol w:w="4320"/>
        <w:gridCol w:w="4320"/>
      </w:tblGrid>
      <w:tr>
        <w:tc>
          <w:tcPr>
            <w:tcW w:type="dxa" w:w="6803"/>
          </w:tcPr>
          <w:p>
            <w:r>
              <w:t>Summary of the assessed risk:</w:t>
            </w:r>
          </w:p>
          <w:p>
            <w:r>
              <w:t>Mortality and morbidity linked to extreme heat, including related to cardio-vascular diseases and mental illness; specifically affected groups include the elderly and people suffering from obesity [Table 7.4]. Incomplete adaptation is defined as incomplete adaptation planning and moderate investment in health systems [Figure 7.9]</w:t>
            </w:r>
          </w:p>
          <w:p>
            <w:r>
              <w:t>Database id: 171 (</w:t>
            </w:r>
            <w:hyperlink r:id="rId10">
              <w:r>
                <w:rPr>
                  <w:u w:val="single"/>
                </w:rPr>
                <w:t>link</w:t>
              </w:r>
            </w:hyperlink>
            <w:r>
              <w:t>).</w:t>
            </w:r>
            <w:r>
              <w:t xml:space="preserve"> Scenario: Medium adaptation.</w:t>
            </w:r>
          </w:p>
          <w:p>
            <w:r>
              <w:t>This ember is found in the following figure(s):</w:t>
              <w:br/>
            </w:r>
            <w:r>
              <w:t xml:space="preserve">Figure 7.9 of AR6-WGII-Chapter7; </w:t>
            </w:r>
            <w:r>
              <w:br/>
              <w:t>(as a rule, summaries are not listed here)</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Transition: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0.5</w:t>
            </w:r>
          </w:p>
        </w:tc>
        <w:tc>
          <w:tcPr>
            <w:tcW w:type="dxa" w:w="2362"/>
            <w:vMerge w:val="restart"/>
            <w:vAlign w:val="center"/>
          </w:tcPr>
          <w:p>
            <w:r>
              <w:rPr>
                <w:i/>
              </w:rPr>
              <w:t>very high confidence</w:t>
            </w:r>
          </w:p>
        </w:tc>
      </w:tr>
      <w:tr>
        <w:tc>
          <w:tcPr>
            <w:tcW w:type="dxa" w:w="787"/>
          </w:tcPr>
          <w:p>
            <w:r>
              <w:t>max</w:t>
            </w:r>
          </w:p>
        </w:tc>
        <w:tc>
          <w:tcPr>
            <w:tcW w:type="dxa" w:w="787"/>
          </w:tcPr>
          <w:p>
            <w:r>
              <w:t>0.8</w:t>
            </w:r>
          </w:p>
        </w:tc>
        <w:tc>
          <w:tcPr>
            <w:tcW w:type="dxa" w:w="2880"/>
            <w:vMerge/>
          </w:tcPr>
          <w:p/>
        </w:tc>
      </w:tr>
    </w:tbl>
    <w:p>
      <w:r>
        <w:t>(Information on this transition is not available yet)</w:t>
      </w:r>
    </w:p>
    <w:p>
      <w:pPr>
        <w:pStyle w:val="Heading1"/>
      </w:pPr>
      <w:r>
        <w:t>Transition: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1.5</w:t>
            </w:r>
          </w:p>
        </w:tc>
        <w:tc>
          <w:tcPr>
            <w:tcW w:type="dxa" w:w="2362"/>
            <w:vMerge w:val="restart"/>
            <w:vAlign w:val="center"/>
          </w:tcPr>
          <w:p>
            <w:r>
              <w:rPr>
                <w:i/>
              </w:rPr>
              <w:t>high confidence</w:t>
            </w:r>
          </w:p>
        </w:tc>
      </w:tr>
      <w:tr>
        <w:tc>
          <w:tcPr>
            <w:tcW w:type="dxa" w:w="787"/>
          </w:tcPr>
          <w:p>
            <w:r>
              <w:t>max</w:t>
            </w:r>
          </w:p>
        </w:tc>
        <w:tc>
          <w:tcPr>
            <w:tcW w:type="dxa" w:w="787"/>
          </w:tcPr>
          <w:p>
            <w:r>
              <w:t>2.0</w:t>
            </w:r>
          </w:p>
        </w:tc>
        <w:tc>
          <w:tcPr>
            <w:tcW w:type="dxa" w:w="2880"/>
            <w:vMerge/>
          </w:tcPr>
          <w:p/>
        </w:tc>
      </w:tr>
    </w:tbl>
    <w:p>
      <w:r>
        <w:t>(Information on this transition is not available yet)</w:t>
      </w:r>
    </w:p>
    <w:p>
      <w:pPr>
        <w:pStyle w:val="Heading1"/>
      </w:pPr>
      <w:r>
        <w:t>Supplementary information</w:t>
      </w:r>
    </w:p>
    <w:p>
      <w:pPr>
        <w:pStyle w:val="Heading1"/>
      </w:pPr>
      <w:r>
        <w:t>Specific references</w:t>
      </w:r>
    </w:p>
    <w:p>
      <w:r>
        <w:t>The numerical data for figure 7.9 is not provided in AR6 to our knowledge. It was first reconstructed to match the figure, then compared to the data provided by the IPCC DDC:</w:t>
      </w:r>
    </w:p>
    <w:p>
      <w:r>
        <w:t xml:space="preserve">IPCC Data Distribution Centre (2023), Data used in the Assessment Report 6 from Working Group II of the Intergovernmental Panel on Climate Change for the production of Figure SPM.3e; Figure TS.4e; Figure 7.9; Figure AI.46. DOI: </w:t>
      </w:r>
      <w:hyperlink r:id="rId11">
        <w:r>
          <w:rPr>
            <w:u w:val="single"/>
          </w:rPr>
          <w:t>10.48490/hg4w-fy76</w:t>
        </w:r>
      </w:hyperlink>
      <w:r>
        <w:t>.</w:t>
      </w:r>
    </w:p>
    <w:p>
      <w:r>
        <w:t>Note: for incomplete and for proactive adaptation, the data provided by the DDC includes additional transitions which are not visible in the final IPCC figure because they are above the maximum global mean temperature shown (in relation to the scenarios); for this reason, those transitions are not included here.</w:t>
      </w:r>
    </w:p>
    <w:p>
      <w:r>
        <w:t xml:space="preserve">See also Ebi et al. 2021, Environmental Research Letters, DOI: </w:t>
      </w:r>
      <w:hyperlink r:id="rId12">
        <w:r>
          <w:rPr>
            <w:u w:val="single"/>
          </w:rPr>
          <w:t>10.1088/1748-9326/abeadd</w:t>
        </w:r>
      </w:hyperlink>
    </w:p>
    <w:p>
      <w:pPr>
        <w:pStyle w:val="Heading1"/>
      </w:pPr>
      <w:r>
        <w:t>Reference for the source data:</w:t>
      </w:r>
    </w:p>
    <w:p>
      <w:r>
        <w:t xml:space="preserve">Cissé, G., R. McLeman, H. Adams, P. Aldunce, K. Bowen, D. Campbell-Lendrum, S. Clayton, K.L. Ebi, J. Hess, C. Huang, Q. Liu, G. McGregor, J. Semenza, and M.C. Tirado, 2022: Health, Wellbeing, and the Changing Structure of Communities.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1041-1170. </w:t>
      </w:r>
      <w:hyperlink r:id="rId13">
        <w:r>
          <w:rPr>
            <w:u w:val="single"/>
          </w:rPr>
          <w:t>https://doi.org/10.1017/9781009325844.009</w:t>
        </w:r>
      </w:hyperlink>
      <w:r>
        <w:br/>
        <w:t xml:space="preserve">Alternative direct download: </w:t>
      </w:r>
      <w:hyperlink r:id="rId14">
        <w:r>
          <w:rPr>
            <w:u w:val="single"/>
          </w:rPr>
          <w:t>www.ipcc.ch/report/ar6/wg2/downloads/report/IPCC_AR6_WGII_Chapter07.pdf</w:t>
        </w:r>
      </w:hyperlink>
    </w:p>
    <w:p>
      <w:r>
        <w:t xml:space="preserve">Cissé, G., R. McLeman, H. Adams, P. Aldunce, K. Bowen, D. Campbell-Lendrum, S. Clayton, K.L. Ebi, J. Hess, C. Huang, Q. Liu, G. McGregor, J. Semenza, and M.C. Tirado, 2022: Health, Wellbeing, and the Changing Structure of Communities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5">
        <w:r>
          <w:rPr>
            <w:u w:val="single"/>
          </w:rPr>
          <w:t>www.ipcc.ch/report/ar6/wg2/downloads/report/IPCC_AR6_WGII_Chapter07_SM.pdf</w:t>
        </w:r>
      </w:hyperlink>
    </w:p>
    <w:p>
      <w:pPr>
        <w:pStyle w:val="Heading1"/>
      </w:pPr>
      <w:r>
        <w:t>Disclaimer</w:t>
      </w:r>
    </w:p>
    <w:p>
      <w:r>
        <w:t>The Embers Explorer project is not affiliated with the IPCC, is not approved or authorized by the IPCC, and is not an IPCC product. The figures presented herein are not IPCC figures, have not been subject to formal IPCC review processes and have not been endorsed by the IPCC. The IPCC does not assume any responsibility for their accuracy.</w:t>
      </w:r>
    </w:p>
    <w:p>
      <w:r>
        <w:t>However, every effort is made to ensure that data resulting from IPCC assessments are accurately represented here, with due reference to sources.</w:t>
      </w:r>
    </w:p>
    <w:p>
      <w:r>
        <w:t>An archive of the database on which this app is based is available on Zenodo (</w:t>
      </w:r>
      <w:hyperlink r:id="rId16">
        <w:r>
          <w:rPr>
            <w:u w:val="single"/>
          </w:rPr>
          <w:t>doi.org/10.5281/zenodo.12626977</w:t>
        </w:r>
      </w:hyperlink>
      <w:r>
        <w:t>) under the CC-BY 4.0 license. We have confirmed with the IPCC that this data can be distributed in this way.</w:t>
      </w:r>
    </w:p>
    <w:p>
      <w:r>
        <w:t>[This file was generated by the Embers Explorer 1.4.1 on 2026-07-18.]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171" TargetMode="External"/><Relationship Id="rId11" Type="http://schemas.openxmlformats.org/officeDocument/2006/relationships/hyperlink" Target="https://ipcc-browser.ipcc-data.org/browser/dataset/5849/0" TargetMode="External"/><Relationship Id="rId12" Type="http://schemas.openxmlformats.org/officeDocument/2006/relationships/hyperlink" Target="https://doi.org/10.1088/1748-9326/abeadd" TargetMode="External"/><Relationship Id="rId13" Type="http://schemas.openxmlformats.org/officeDocument/2006/relationships/hyperlink" Target="https://doi.org/10.1017/9781009325844.009" TargetMode="External"/><Relationship Id="rId14" Type="http://schemas.openxmlformats.org/officeDocument/2006/relationships/hyperlink" Target="https://www.ipcc.ch/report/ar6/wg2/downloads/report/IPCC_AR6_WGII_Chapter07.pdf" TargetMode="External"/><Relationship Id="rId15" Type="http://schemas.openxmlformats.org/officeDocument/2006/relationships/hyperlink" Target="https://www.ipcc.ch/report/ar6/wg2/downloads/report/IPCC_AR6_WGII_Chapter07_SM.pdf" TargetMode="External"/><Relationship Id="rId16"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