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Malaria - incomplete adaptation</w:t>
      </w:r>
    </w:p>
    <w:tbl>
      <w:tblPr>
        <w:tblW w:type="auto" w:w="0"/>
        <w:tblLook w:firstColumn="1" w:firstRow="1" w:lastColumn="0" w:lastRow="0" w:noHBand="0" w:noVBand="1" w:val="04A0"/>
      </w:tblPr>
      <w:tblGrid>
        <w:gridCol w:w="4320"/>
        <w:gridCol w:w="4320"/>
      </w:tblGrid>
      <w:tr>
        <w:tc>
          <w:tcPr>
            <w:tcW w:type="dxa" w:w="6803"/>
          </w:tcPr>
          <w:p/>
          <w:p>
            <w:r>
              <w:t>(Description not yet available)</w:t>
            </w:r>
          </w:p>
          <w:p>
            <w:r>
              <w:t>Database id: 177 (</w:t>
            </w:r>
            <w:hyperlink r:id="rId10">
              <w:r>
                <w:rPr>
                  <w:u w:val="single"/>
                </w:rPr>
                <w:t>link</w:t>
              </w:r>
            </w:hyperlink>
            <w:r>
              <w:t>).</w:t>
            </w:r>
            <w:r>
              <w:t xml:space="preserve"> Scenario: Medium adaptation.</w:t>
            </w:r>
          </w:p>
          <w:p>
            <w:r>
              <w:t>This ember is found in the following figure(s):</w:t>
              <w:br/>
            </w:r>
            <w:r>
              <w:t xml:space="preserve">Figure 7.9 of AR6-WGII-Chapter7; </w:t>
            </w:r>
            <w:r>
              <w:br/>
              <w:t>(as a rule, summaries are not listed here)</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Transition: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1.0</w:t>
            </w:r>
          </w:p>
        </w:tc>
        <w:tc>
          <w:tcPr>
            <w:tcW w:type="dxa" w:w="2362"/>
            <w:vMerge w:val="restart"/>
            <w:vAlign w:val="center"/>
          </w:tcPr>
          <w:p>
            <w:r>
              <w:rPr>
                <w:i/>
              </w:rPr>
              <w:t>very high confidence</w:t>
            </w:r>
          </w:p>
        </w:tc>
      </w:tr>
      <w:tr>
        <w:tc>
          <w:tcPr>
            <w:tcW w:type="dxa" w:w="787"/>
          </w:tcPr>
          <w:p>
            <w:r>
              <w:t>max</w:t>
            </w:r>
          </w:p>
        </w:tc>
        <w:tc>
          <w:tcPr>
            <w:tcW w:type="dxa" w:w="787"/>
          </w:tcPr>
          <w:p>
            <w:r>
              <w:t>1.5</w:t>
            </w:r>
          </w:p>
        </w:tc>
        <w:tc>
          <w:tcPr>
            <w:tcW w:type="dxa" w:w="2880"/>
            <w:vMerge/>
          </w:tcPr>
          <w:p/>
        </w:tc>
      </w:tr>
    </w:tbl>
    <w:p>
      <w:r>
        <w:t>(Information on this transition is not available yet)</w:t>
      </w:r>
    </w:p>
    <w:p>
      <w:pPr>
        <w:pStyle w:val="Heading1"/>
      </w:pPr>
      <w:r>
        <w:t>Transition: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2.0</w:t>
            </w:r>
          </w:p>
        </w:tc>
        <w:tc>
          <w:tcPr>
            <w:tcW w:type="dxa" w:w="2362"/>
            <w:vMerge w:val="restart"/>
            <w:vAlign w:val="center"/>
          </w:tcPr>
          <w:p>
            <w:r>
              <w:rPr>
                <w:i/>
              </w:rPr>
              <w:t>medium confidence</w:t>
            </w:r>
          </w:p>
        </w:tc>
      </w:tr>
      <w:tr>
        <w:tc>
          <w:tcPr>
            <w:tcW w:type="dxa" w:w="787"/>
          </w:tcPr>
          <w:p>
            <w:r>
              <w:t>max</w:t>
            </w:r>
          </w:p>
        </w:tc>
        <w:tc>
          <w:tcPr>
            <w:tcW w:type="dxa" w:w="787"/>
          </w:tcPr>
          <w:p>
            <w:r>
              <w:t>2.5</w:t>
            </w:r>
          </w:p>
        </w:tc>
        <w:tc>
          <w:tcPr>
            <w:tcW w:type="dxa" w:w="2880"/>
            <w:vMerge/>
          </w:tcPr>
          <w:p/>
        </w:tc>
      </w:tr>
    </w:tbl>
    <w:p>
      <w:r>
        <w:t>(Information on this transition is not available yet)</w:t>
      </w:r>
    </w:p>
    <w:p>
      <w:pPr>
        <w:pStyle w:val="Heading1"/>
      </w:pPr>
      <w:r>
        <w:t>Specific references</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Reference for the source data:</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Disclaimer</w:t>
      </w:r>
    </w:p>
    <w:p>
      <w:r>
        <w:t>The Embers Explorer project is not affiliated with the IPCC, is not approved or authorized by the IPCC, and is not an IPCC product. The figures presented herein are not IPCC figures, have not been subject to formal IPCC review processes and have not been endorsed by the IPCC. The IPCC does not assume any responsibility for their accuracy.</w:t>
      </w:r>
    </w:p>
    <w:p>
      <w:r>
        <w:t>However, every effort is made to ensure that data resulting from IPCC assessments are accurately represented here, with due reference to sources.</w:t>
      </w:r>
    </w:p>
    <w:p>
      <w:r>
        <w:t>An archive of the database on which this app is based is available on Zenodo (</w:t>
      </w:r>
      <w:hyperlink r:id="rId16">
        <w:r>
          <w:rPr>
            <w:u w:val="single"/>
          </w:rPr>
          <w:t>doi.org/10.5281/zenodo.12626977</w:t>
        </w:r>
      </w:hyperlink>
      <w:r>
        <w:t>) under the CC-BY 4.0 license. We have confirmed with the IPCC that this data can be distributed in this way.</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7"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