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proactive adaptation</w:t>
      </w:r>
    </w:p>
    <w:tbl>
      <w:tblPr>
        <w:tblW w:type="auto" w:w="0"/>
        <w:tblLook w:firstColumn="1" w:firstRow="1" w:lastColumn="0" w:lastRow="0" w:noHBand="0" w:noVBand="1" w:val="04A0"/>
      </w:tblPr>
      <w:tblGrid>
        <w:gridCol w:w="4320"/>
        <w:gridCol w:w="4320"/>
      </w:tblGrid>
      <w:tr>
        <w:tc>
          <w:tcPr>
            <w:tcW w:type="dxa" w:w="6803"/>
          </w:tcPr>
          <w:p/>
          <w:p>
            <w:r>
              <w:t>(Description not yet available)</w:t>
            </w:r>
          </w:p>
          <w:p>
            <w:r>
              <w:t>Database id: 178 (</w:t>
            </w:r>
            <w:hyperlink r:id="rId10">
              <w:r>
                <w:rPr>
                  <w:u w:val="single"/>
                </w:rPr>
                <w:t>link</w:t>
              </w:r>
            </w:hyperlink>
            <w:r>
              <w:t>).</w:t>
            </w:r>
            <w:r>
              <w:t xml:space="preserve"> Scenario: High adaptation.</w:t>
            </w:r>
          </w:p>
          <w:p>
            <w:r>
              <w:t>This ember is found in the following figure(s):</w:t>
              <w:br/>
            </w:r>
            <w:r>
              <w:t xml:space="preserve">Figure 7.9 of AR6-WGII-Chapter7;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1.8</w:t>
            </w:r>
          </w:p>
        </w:tc>
        <w:tc>
          <w:tcPr>
            <w:tcW w:type="dxa" w:w="2880"/>
            <w:vMerge/>
          </w:tcPr>
          <w:p/>
        </w:tc>
      </w:tr>
    </w:tbl>
    <w:p>
      <w:r>
        <w:t>(Information on this transition is not available yet)</w:t>
      </w:r>
    </w:p>
    <w:p>
      <w:pPr>
        <w:pStyle w:val="Heading1"/>
      </w:pPr>
      <w:r>
        <w:t>Specific references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Reference for the source data:</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6">
        <w:r>
          <w:rPr>
            <w:u w:val="single"/>
          </w:rPr>
          <w:t>doi.org/10.5281/zenodo.12626977</w:t>
        </w:r>
      </w:hyperlink>
      <w:r>
        <w:t>) under the CC-BY 4.0 license. We have confirmed with the IPCC that this data can be distributed in this way.</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8"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