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Reasons for concern - AR5: 2. Extreme weather events</w:t>
      </w:r>
    </w:p>
    <w:tbl>
      <w:tblPr>
        <w:tblW w:type="auto" w:w="0"/>
        <w:tblLook w:firstColumn="1" w:firstRow="1" w:lastColumn="0" w:lastRow="0" w:noHBand="0" w:noVBand="1" w:val="04A0"/>
      </w:tblPr>
      <w:tblGrid>
        <w:gridCol w:w="4320"/>
        <w:gridCol w:w="4320"/>
      </w:tblGrid>
      <w:tr>
        <w:tc>
          <w:tcPr>
            <w:tcW w:type="dxa" w:w="6803"/>
          </w:tcPr>
          <w:p/>
          <w:p>
            <w:r>
              <w:t>(Description not yet available)</w:t>
            </w:r>
          </w:p>
          <w:p>
            <w:r>
              <w:t>Database id: 189 (</w:t>
            </w:r>
            <w:hyperlink r:id="rId10">
              <w:r>
                <w:rPr>
                  <w:u w:val="single"/>
                </w:rPr>
                <w:t>link</w:t>
              </w:r>
            </w:hyperlink>
            <w:r>
              <w:t>).</w:t>
            </w:r>
          </w:p>
          <w:p>
            <w:r>
              <w:t>This ember is found in the following figure(s):</w:t>
              <w:br/>
            </w:r>
            <w:r>
              <w:t xml:space="preserve">Figure 19-4 of AR5-WGII-Chapter19;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0.61</w:t>
            </w:r>
          </w:p>
        </w:tc>
        <w:tc>
          <w:tcPr>
            <w:tcW w:type="dxa" w:w="2362"/>
            <w:vMerge w:val="restart"/>
            <w:vAlign w:val="center"/>
          </w:tcPr>
          <w:p>
            <w:r>
              <w:rPr>
                <w:i/>
              </w:rPr>
              <w:t>high confidence</w:t>
            </w:r>
          </w:p>
        </w:tc>
      </w:tr>
      <w:tr>
        <w:tc>
          <w:tcPr>
            <w:tcW w:type="dxa" w:w="787"/>
          </w:tcPr>
          <w:p>
            <w:r>
              <w:t>max</w:t>
            </w:r>
          </w:p>
        </w:tc>
        <w:tc>
          <w:tcPr>
            <w:tcW w:type="dxa" w:w="787"/>
          </w:tcPr>
          <w:p>
            <w:r>
              <w:t>0.96</w:t>
            </w:r>
          </w:p>
        </w:tc>
        <w:tc>
          <w:tcPr>
            <w:tcW w:type="dxa" w:w="2880"/>
            <w:vMerge/>
          </w:tcPr>
          <w:p/>
        </w:tc>
      </w:tr>
    </w:tbl>
    <w:p>
      <w:r>
        <w:t>(Information on this transition is not available yet)</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1.11</w:t>
            </w:r>
          </w:p>
        </w:tc>
        <w:tc>
          <w:tcPr>
            <w:tcW w:type="dxa" w:w="2362"/>
            <w:vMerge w:val="restart"/>
            <w:vAlign w:val="center"/>
          </w:tcPr>
          <w:p>
            <w:r>
              <w:rPr>
                <w:i/>
              </w:rPr>
              <w:t>medium confidence</w:t>
            </w:r>
          </w:p>
        </w:tc>
      </w:tr>
      <w:tr>
        <w:tc>
          <w:tcPr>
            <w:tcW w:type="dxa" w:w="787"/>
          </w:tcPr>
          <w:p>
            <w:r>
              <w:t>max</w:t>
            </w:r>
          </w:p>
        </w:tc>
        <w:tc>
          <w:tcPr>
            <w:tcW w:type="dxa" w:w="787"/>
          </w:tcPr>
          <w:p>
            <w:r>
              <w:t>1.83</w:t>
            </w:r>
          </w:p>
        </w:tc>
        <w:tc>
          <w:tcPr>
            <w:tcW w:type="dxa" w:w="2880"/>
            <w:vMerge/>
          </w:tcPr>
          <w:p/>
        </w:tc>
      </w:tr>
    </w:tbl>
    <w:p>
      <w:r>
        <w:t>(Information on this transition is not available yet)</w:t>
      </w:r>
    </w:p>
    <w:p>
      <w:pPr>
        <w:pStyle w:val="Heading1"/>
      </w:pPr>
      <w:r>
        <w:t>Transition: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4.61</w:t>
            </w:r>
          </w:p>
        </w:tc>
        <w:tc>
          <w:tcPr>
            <w:tcW w:type="dxa" w:w="2362"/>
            <w:vMerge w:val="restart"/>
            <w:vAlign w:val="center"/>
          </w:tcPr>
          <w:p>
            <w:r>
              <w:rPr>
                <w:i w:val="0"/>
              </w:rPr>
              <w:t>(Confidence level not shown on the diagram)</w:t>
            </w:r>
          </w:p>
        </w:tc>
      </w:tr>
      <w:tr>
        <w:tc>
          <w:tcPr>
            <w:tcW w:type="dxa" w:w="787"/>
          </w:tcPr>
          <w:p>
            <w:r>
              <w:t>max</w:t>
            </w:r>
          </w:p>
        </w:tc>
        <w:tc>
          <w:tcPr>
            <w:tcW w:type="dxa" w:w="787"/>
          </w:tcPr>
          <w:p>
            <w:r>
              <w:t>6.61</w:t>
            </w:r>
          </w:p>
        </w:tc>
        <w:tc>
          <w:tcPr>
            <w:tcW w:type="dxa" w:w="2880"/>
            <w:vMerge/>
          </w:tcPr>
          <w:p/>
        </w:tc>
      </w:tr>
    </w:tbl>
    <w:p>
      <w:r>
        <w:t>(Information on this transition is not available yet)</w:t>
      </w:r>
    </w:p>
    <w:p>
      <w:pPr>
        <w:pStyle w:val="Heading1"/>
      </w:pPr>
      <w:r>
        <w:t>Supplementary information</w:t>
      </w:r>
    </w:p>
    <w:p>
      <w:r>
        <w:t>Confidence levels are from O'Neill et al. 2017. There is no confidence level for high to very high risk (red to purple).</w:t>
      </w:r>
    </w:p>
    <w:p>
      <w:r>
        <w:t xml:space="preserve">The data provided for the transitions is the result of software-based extraction from the figure published in AR5 (data doi: </w:t>
      </w:r>
      <w:hyperlink r:id="rId11">
        <w:r>
          <w:rPr>
            <w:u w:val="single"/>
          </w:rPr>
          <w:t>10.5281/zenodo.8174853</w:t>
        </w:r>
      </w:hyperlink>
      <w:r>
        <w:t>).</w:t>
      </w:r>
    </w:p>
    <w:p>
      <w:pPr>
        <w:pStyle w:val="Heading1"/>
      </w:pPr>
      <w:r>
        <w:t>Specific references</w:t>
      </w:r>
    </w:p>
    <w:p>
      <w:r>
        <w:t xml:space="preserve">O’Neill, Brian C., Michael Oppenheimer, Rachel Warren, Stephane Hallegatte, Robert E. Kopp, Hans O. Pörtner, Robert Scholes, et al., 2017. “IPCC Reasons for Concern Regarding Climate Change Risks.” Nature Climate Change. doi: </w:t>
      </w:r>
      <w:hyperlink r:id="rId12">
        <w:r>
          <w:rPr>
            <w:u w:val="single"/>
          </w:rPr>
          <w:t>10/f9tq3x</w:t>
        </w:r>
      </w:hyperlink>
      <w:r>
        <w:t>.</w:t>
      </w:r>
    </w:p>
    <w:p>
      <w:pPr>
        <w:pStyle w:val="Heading1"/>
      </w:pPr>
      <w:r>
        <w:t>Reference for the source data:</w:t>
      </w:r>
    </w:p>
    <w:p>
      <w:r>
        <w:t xml:space="preserve">Oppenheimer, M., M. Campos, R. Warren, J. Birkmann, G. Luber, B. O’Neill, and K. Takahashi, 2014: Emergent risks and key vulnerabilities. In: </w:t>
      </w:r>
      <w:r>
        <w:rPr>
          <w:i/>
        </w:rPr>
        <w:t>Climate Change 2014: Impacts, Adaptation, and Vulnerability. Part A: Global and Sectoral Aspects. Contribution of Working Group II to the Fifth Assessment Report of the Intergovernmental Panel on Climate Change</w:t>
      </w:r>
      <w:r>
        <w:t xml:space="preserve"> [Field, C.B., V.R. Barros, D.J. Dokken, K.J. Mach, M.D. Mastrandrea, T.E. Bilir, M. Chatterjee, K.L. Ebi, Y.O. Estrada, R.C. Genova, B. Girma, E.S. Kissel, A.N. Levy, S. MacCracken, P.R. Mastrandrea, and L.L. White (eds.)]. Cambridge University Press, Cambridge, United Kingdom and New York, NY, USA, pp. 1039-1099. url: </w:t>
      </w:r>
      <w:hyperlink r:id="rId13">
        <w:r>
          <w:rPr>
            <w:u w:val="single"/>
          </w:rPr>
          <w:t>https://www.ipcc.ch/site/assets/uploads/2018/02/WGIIAR5-Chap19_FINAL.pdf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4">
        <w:r>
          <w:rPr>
            <w:u w:val="single"/>
          </w:rPr>
          <w:t>doi.org/10.5281/zenodo.12626977</w:t>
        </w:r>
      </w:hyperlink>
      <w:r>
        <w:t>) under the CC-BY 4.0 license. We have confirmed with the IPCC that this data can be distributed in this way.</w:t>
      </w:r>
    </w:p>
    <w:p>
      <w:r>
        <w:t>[This file was generated by the Embers Explorer 1.4.0 on 2025-08-04.]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89" TargetMode="External"/><Relationship Id="rId11" Type="http://schemas.openxmlformats.org/officeDocument/2006/relationships/hyperlink" Target="https://doi.org/10.5281/zenodo.8174853" TargetMode="External"/><Relationship Id="rId12" Type="http://schemas.openxmlformats.org/officeDocument/2006/relationships/hyperlink" Target="https://doi.org/10/f9tq3x" TargetMode="External"/><Relationship Id="rId13" Type="http://schemas.openxmlformats.org/officeDocument/2006/relationships/hyperlink" Target="https://www.ipcc.ch/site/assets/uploads/2018/02/WGIIAR5-Chap19_FINAL.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