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Terrestrial and freshwater biodiversity loss</w:t>
      </w:r>
    </w:p>
    <w:tbl>
      <w:tblPr>
        <w:tblW w:type="auto" w:w="0"/>
        <w:tblLook w:firstColumn="1" w:firstRow="1" w:lastColumn="0" w:lastRow="0" w:noHBand="0" w:noVBand="1" w:val="04A0"/>
      </w:tblPr>
      <w:tblGrid>
        <w:gridCol w:w="4320"/>
        <w:gridCol w:w="4320"/>
      </w:tblGrid>
      <w:tr>
        <w:tc>
          <w:tcPr>
            <w:tcW w:type="dxa" w:w="6803"/>
          </w:tcPr>
          <w:p>
            <w:r>
              <w:t>Summary of the assessed risk:</w:t>
            </w:r>
          </w:p>
          <w:p>
            <w:r>
              <w:t>Losses of animal and plant species from different ecosystems globally, with resulting declines in ecosystem integrity, functioning and resilience [Figure 2.11]</w:t>
            </w:r>
          </w:p>
          <w:p>
            <w:r>
              <w:t>Database id: 70 (</w:t>
            </w:r>
            <w:hyperlink r:id="rId10">
              <w:r>
                <w:rPr>
                  <w:u w:val="single"/>
                </w:rPr>
                <w:t>link</w:t>
              </w:r>
            </w:hyperlink>
            <w:r>
              <w:t>).</w:t>
            </w:r>
          </w:p>
          <w:p>
            <w:r>
              <w:t>This ember is found in the following figure(s):</w:t>
              <w:br/>
            </w:r>
            <w:r>
              <w:t xml:space="preserve">Figure 2.11 of AR6-WGII-Chapter2; </w:t>
            </w:r>
            <w:r>
              <w:br/>
              <w:t>(as a rule, summaries are not listed here)</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0.6</w:t>
            </w:r>
          </w:p>
        </w:tc>
        <w:tc>
          <w:tcPr>
            <w:tcW w:type="dxa" w:w="2362"/>
            <w:vMerge w:val="restart"/>
            <w:vAlign w:val="center"/>
          </w:tcPr>
          <w:p>
            <w:r>
              <w:rPr>
                <w:i/>
              </w:rPr>
              <w:t>high confidence</w:t>
            </w:r>
          </w:p>
        </w:tc>
      </w:tr>
      <w:tr>
        <w:tc>
          <w:tcPr>
            <w:tcW w:type="dxa" w:w="787"/>
          </w:tcPr>
          <w:p>
            <w:r>
              <w:t>max</w:t>
            </w:r>
          </w:p>
        </w:tc>
        <w:tc>
          <w:tcPr>
            <w:tcW w:type="dxa" w:w="787"/>
          </w:tcPr>
          <w:p>
            <w:r>
              <w:t>1.0</w:t>
            </w:r>
          </w:p>
        </w:tc>
        <w:tc>
          <w:tcPr>
            <w:tcW w:type="dxa" w:w="2880"/>
            <w:vMerge/>
          </w:tcPr>
          <w:p/>
        </w:tc>
      </w:tr>
    </w:tbl>
    <w:p>
      <w:r>
        <w:t>Observations revealed the first species losing &gt;50% of range due to climate change, placing them in the IUCN category of ‘endangered’. Many local population extinctions were observed in the most sensitive species, and global extinction of species attributable to climate change first starts to be detected. [Table SM2.5, 2.4.2.2]</w:t>
      </w:r>
    </w:p>
    <w:p>
      <w:pPr>
        <w:pStyle w:val="Heading1"/>
      </w:pPr>
      <w:r>
        <w:t>Transition: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0.875</w:t>
            </w:r>
          </w:p>
        </w:tc>
        <w:tc>
          <w:tcPr>
            <w:tcW w:type="dxa" w:w="2362"/>
            <w:vMerge w:val="restart"/>
            <w:vAlign w:val="center"/>
          </w:tcPr>
          <w:p>
            <w:r>
              <w:rPr>
                <w:i/>
              </w:rPr>
              <w:t>medium confidence</w:t>
            </w:r>
          </w:p>
        </w:tc>
      </w:tr>
      <w:tr>
        <w:tc>
          <w:tcPr>
            <w:tcW w:type="dxa" w:w="787"/>
          </w:tcPr>
          <w:p>
            <w:r>
              <w:t>max</w:t>
            </w:r>
          </w:p>
        </w:tc>
        <w:tc>
          <w:tcPr>
            <w:tcW w:type="dxa" w:w="787"/>
          </w:tcPr>
          <w:p>
            <w:r>
              <w:t>2.025</w:t>
            </w:r>
          </w:p>
        </w:tc>
        <w:tc>
          <w:tcPr>
            <w:tcW w:type="dxa" w:w="2880"/>
            <w:vMerge/>
          </w:tcPr>
          <w:p/>
        </w:tc>
      </w:tr>
    </w:tbl>
    <w:p>
      <w:r>
        <w:t>Around 1.5°C, a few taxa are known from their basic biology and habitat requirements to be at high risk of extinction (endangered). In an increasing number of taxa, more than 10% of the species are projected to reach a high risk of extinction (this is 1000 times the natural background rate of extinction). [Table 2.5]</w:t>
      </w:r>
    </w:p>
    <w:p>
      <w:pPr>
        <w:pStyle w:val="Heading1"/>
      </w:pPr>
      <w:r>
        <w:t>Transition: high to very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1.6</w:t>
            </w:r>
          </w:p>
        </w:tc>
        <w:tc>
          <w:tcPr>
            <w:tcW w:type="dxa" w:w="2362"/>
            <w:vMerge w:val="restart"/>
            <w:vAlign w:val="center"/>
          </w:tcPr>
          <w:p>
            <w:r>
              <w:rPr>
                <w:i/>
              </w:rPr>
              <w:t>medium confidence</w:t>
            </w:r>
          </w:p>
        </w:tc>
      </w:tr>
      <w:tr>
        <w:tc>
          <w:tcPr>
            <w:tcW w:type="dxa" w:w="787"/>
          </w:tcPr>
          <w:p>
            <w:r>
              <w:t>max</w:t>
            </w:r>
          </w:p>
        </w:tc>
        <w:tc>
          <w:tcPr>
            <w:tcW w:type="dxa" w:w="787"/>
          </w:tcPr>
          <w:p>
            <w:r>
              <w:t>2.55</w:t>
            </w:r>
          </w:p>
        </w:tc>
        <w:tc>
          <w:tcPr>
            <w:tcW w:type="dxa" w:w="2880"/>
            <w:vMerge/>
          </w:tcPr>
          <w:p/>
        </w:tc>
      </w:tr>
    </w:tbl>
    <w:p>
      <w:r>
        <w:t>In an increasing number of taxa, more than 20% of species are projected to reach a high risk of extinction. In the worst-case scenario (10th percentile of the models), some of the taxa show &gt;50% of the species at a high risk of extinction [Table 2.5, Table SM2.5, 2.5.1.3]</w:t>
      </w:r>
    </w:p>
    <w:p>
      <w:pPr>
        <w:pStyle w:val="Heading1"/>
      </w:pPr>
      <w:r>
        <w:t>Supplementary information</w:t>
      </w:r>
    </w:p>
    <w:p>
      <w:r>
        <w:t>We did not include the median values, provided in SM2.5, because these are always equal to the mean of min and max: it does not have any effect on the diagram. The statements provided to explain each transitions are attributed to the median (that is, the middle of the transition).</w:t>
      </w:r>
    </w:p>
    <w:p>
      <w:pPr>
        <w:pStyle w:val="Heading1"/>
      </w:pPr>
      <w:r>
        <w:t>Reference for the source data:</w:t>
      </w:r>
    </w:p>
    <w:p>
      <w:r>
        <w:t xml:space="preserve">Parmesan, C., M.D.Morecroft, Y.Trisurat, R.Adrian, G.Z.Anshari, A.Arneth, Q.Gao, P.Gonzalez, R.Harris, J.Price, N. Stevens, and G.H. Talukdarr, 2022: Terrestrial and freshwater ecosystems and their services.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197-377. </w:t>
      </w:r>
      <w:hyperlink r:id="rId11">
        <w:r>
          <w:rPr>
            <w:u w:val="single"/>
          </w:rPr>
          <w:t>https://doi.org/10.1017/9781009325844.004</w:t>
        </w:r>
      </w:hyperlink>
      <w:r>
        <w:br/>
        <w:t xml:space="preserve">Alternative direct download: </w:t>
      </w:r>
      <w:hyperlink r:id="rId12">
        <w:r>
          <w:rPr>
            <w:u w:val="single"/>
          </w:rPr>
          <w:t>www.ipcc.ch/report/ar6/wg2/downloads/report/IPCC_AR6_WGII_Chapter02.pdf</w:t>
        </w:r>
      </w:hyperlink>
    </w:p>
    <w:p>
      <w:r>
        <w:t xml:space="preserve">Parmesan, C., M.D.Morecroft, Y.Trisurat, R.Adrian, G.Z.Anshari, A.Arneth, Q.Gao, P.Gonzalez, R.Harris, J.Price, N. Stevens, and G.H. Talukdarr, 2022: Terrestrial and freshwater ecosystems and their services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3">
        <w:r>
          <w:rPr>
            <w:u w:val="single"/>
          </w:rPr>
          <w:t>www.ipcc.ch/report/ar6/wg2/downloads/report/IPCC_AR6_WGII_Chapter02_SM.pdf</w:t>
        </w:r>
      </w:hyperlink>
    </w:p>
    <w:p>
      <w:pPr>
        <w:pStyle w:val="Heading1"/>
      </w:pPr>
      <w:r>
        <w:t>Disclaimer</w:t>
      </w:r>
    </w:p>
    <w:p>
      <w:r>
        <w:t>The Embers Explorer project is not affiliated with the IPCC, is not approved or authorized by the IPCC, and is not an IPCC product. The figures presented herein are not IPCC figures, have not been subject to formal IPCC review processes and have not been endorsed by the IPCC. The IPCC does not assume any responsibility for their accuracy.</w:t>
      </w:r>
    </w:p>
    <w:p>
      <w:r>
        <w:t>However, every effort is made to ensure that data resulting from IPCC assessments are accurately represented here, with due reference to sources.</w:t>
      </w:r>
    </w:p>
    <w:p>
      <w:r>
        <w:t>An archive of the database on which this app is based is available on Zenodo (</w:t>
      </w:r>
      <w:hyperlink r:id="rId14">
        <w:r>
          <w:rPr>
            <w:u w:val="single"/>
          </w:rPr>
          <w:t>doi.org/10.5281/zenodo.12626977</w:t>
        </w:r>
      </w:hyperlink>
      <w:r>
        <w:t>) under the CC-BY 4.0 license. We have confirmed with the IPCC that this data can be distributed in this way.</w:t>
      </w:r>
    </w:p>
    <w:p>
      <w:r>
        <w:t>[This file was generated by the Embers Explorer 1.4.1 on 2026-07-18.]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70" TargetMode="External"/><Relationship Id="rId11" Type="http://schemas.openxmlformats.org/officeDocument/2006/relationships/hyperlink" Target="https://doi.org/10.1017/9781009325844.004" TargetMode="External"/><Relationship Id="rId12" Type="http://schemas.openxmlformats.org/officeDocument/2006/relationships/hyperlink" Target="https://www.ipcc.ch/report/ar6/wg2/downloads/report/IPCC_AR6_WGII_Chapter02.pdf" TargetMode="External"/><Relationship Id="rId13" Type="http://schemas.openxmlformats.org/officeDocument/2006/relationships/hyperlink" Target="https://www.ipcc.ch/report/ar6/wg2/downloads/report/IPCC_AR6_WGII_Chapter02_SM.pdf" TargetMode="External"/><Relationship Id="rId14"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