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Europa: pérdidas en la producción de cultivos - alta adaptación</w:t>
      </w:r>
    </w:p>
    <w:p>
      <w:pPr>
        <w:pStyle w:val="Warning"/>
      </w:pPr>
      <w:r>
        <w:t>Traducción automática</w:t>
      </w:r>
    </w:p>
    <w:tbl>
      <w:tblPr>
        <w:tblW w:type="auto" w:w="0"/>
        <w:tblLook w:firstColumn="1" w:firstRow="1" w:lastColumn="0" w:lastRow="0" w:noHBand="0" w:noVBand="1" w:val="04A0"/>
      </w:tblPr>
      <w:tblGrid>
        <w:gridCol w:w="4320"/>
        <w:gridCol w:w="4320"/>
      </w:tblGrid>
      <w:tr>
        <w:tc>
          <w:tcPr>
            <w:tcW w:type="dxa" w:w="6803"/>
          </w:tcPr>
          <w:p>
            <w:r>
              <w:t>Resumen del riesgo evaluado:</w:t>
            </w:r>
          </w:p>
          <w:p>
            <w:r>
              <w:t>Riesgo de pérdida de productividad agrícola, incluida la pérdida de cosechas y la disminución de la calidad de los pastos, debido principalmente al aumento de la probabilidad de condiciones de calor y sequía compuestos y de condiciones meteorológicas extremas. Esta brasa asume altos niveles de implementación de múltiples opciones de adaptación (véase la descripción de la transición). [13.10.2.2]</w:t>
            </w:r>
          </w:p>
          <w:p>
            <w:r>
              <w:t>Database id: 139 (</w:t>
            </w:r>
            <w:hyperlink r:id="rId10">
              <w:r>
                <w:rPr>
                  <w:u w:val="single"/>
                </w:rPr>
                <w:t>link</w:t>
              </w:r>
            </w:hyperlink>
            <w:r>
              <w:t>).</w:t>
            </w:r>
            <w:r>
              <w:t xml:space="preserve"> Scenario: High adaptation.</w:t>
            </w:r>
          </w:p>
          <w:p>
            <w:r>
              <w:t>Esta brasa se encuentra en la(s) siguiente(s) figura(s):</w:t>
              <w:br/>
            </w:r>
            <w:r>
              <w:t xml:space="preserve">Figure 13.30 (a) of AR6-WGII-Chapter13; </w:t>
            </w:r>
            <w:r>
              <w:br/>
              <w:t>(por regla general, los resúmenes no figuran aquí)</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Transiciones: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0.8</w:t>
            </w:r>
          </w:p>
        </w:tc>
        <w:tc>
          <w:tcPr>
            <w:tcW w:type="dxa" w:w="2362"/>
            <w:vMerge w:val="restart"/>
            <w:vAlign w:val="center"/>
          </w:tcPr>
          <w:p>
            <w:r>
              <w:rPr>
                <w:i/>
              </w:rPr>
              <w:t>medium confidence</w:t>
            </w:r>
          </w:p>
        </w:tc>
      </w:tr>
      <w:tr>
        <w:tc>
          <w:tcPr>
            <w:tcW w:type="dxa" w:w="787"/>
          </w:tcPr>
          <w:p>
            <w:r>
              <w:t>max</w:t>
            </w:r>
          </w:p>
        </w:tc>
        <w:tc>
          <w:tcPr>
            <w:tcW w:type="dxa" w:w="787"/>
          </w:tcPr>
          <w:p>
            <w:r>
              <w:t>1.1</w:t>
            </w:r>
          </w:p>
        </w:tc>
        <w:tc>
          <w:tcPr>
            <w:tcW w:type="dxa" w:w="2880"/>
            <w:vMerge/>
          </w:tcPr>
          <w:p/>
        </w:tc>
      </w:tr>
    </w:tbl>
    <w:p>
      <w:r>
        <w:t xml:space="preserve">En condiciones de alta adaptación, el uso del riego puede reducir sustancialmente los riesgos al reducir tanto la temperatura de la cubierta como los impactos de la sequía. La disponibilidad de agua y los usos en competencia se consideran en la brasa de escasez de agua (riesgo clave 3, brasas </w:t>
      </w:r>
      <w:hyperlink r:id="rId11">
        <w:r>
          <w:rPr>
            <w:u w:val="single"/>
          </w:rPr>
          <w:t>141</w:t>
        </w:r>
      </w:hyperlink>
      <w:r>
        <w:t xml:space="preserve"> y </w:t>
      </w:r>
      <w:hyperlink r:id="rId12">
        <w:r>
          <w:rPr>
            <w:u w:val="single"/>
          </w:rPr>
          <w:t>143</w:t>
        </w:r>
      </w:hyperlink>
      <w:r>
        <w:t>). Cuando la capacidad de regar se ve limitada por la disponibilidad de agua, otras opciones de adaptación resultan insuficientes para mitigar las pérdidas de cultivos en algunas subregiones, especialmente a partir de 3 °C de GWL, con un aumento del riesgo de norte a sur y un mayor riesgo para los cultivos de temporada tardía, como el maíz. [13.10.2.2 y Tabla SM13.28]</w:t>
      </w:r>
    </w:p>
    <w:p>
      <w:r>
        <w:t>Los cambios en los cultivares y en las fechas de siembra y cosecha pueden reducir las pérdidas de rendimiento, pero son insuficientes para reducir totalmente las pérdidas previstas con un calentamiento de 3°C y superior, con un aumento del riesgo de norte a sur y para los cultivos que crecen más tarde en la temporada, como el maíz. La mejora genética de los cultivos para que toleren la sequía y el calor puede mejorar la sostenibilidad de la producción agrícola en condiciones climáticas futuras. Los sistemas mixtos y diversificados, la agrosilvicultura y la agroecología contribuyen a la adaptación, pero tienen plazos largos debido a las limitaciones socioeconómicas y políticas de los agricultores. [Figura 13.30 y Tabla SM13.28]</w:t>
      </w:r>
    </w:p>
    <w:p>
      <w:pPr>
        <w:pStyle w:val="Heading1"/>
      </w:pPr>
      <w:r>
        <w:t>Información complementaria</w:t>
      </w:r>
    </w:p>
    <w:p>
      <w:r>
        <w:t>Los posibles cambios de adaptación se resumen en SM13.28, figura 13.30 y sección 13.10.2.2.</w:t>
      </w:r>
    </w:p>
    <w:p>
      <w:pPr>
        <w:pStyle w:val="Heading1"/>
      </w:pPr>
      <w:r>
        <w:t>Fuente de referencia</w:t>
      </w:r>
    </w:p>
    <w:p>
      <w:r>
        <w:t>Table SM13.28</w:t>
      </w:r>
    </w:p>
    <w:p>
      <w:pPr>
        <w:pStyle w:val="Heading1"/>
      </w:pPr>
      <w:r>
        <w:t>Referencia de los datos de origen:</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3">
        <w:r>
          <w:rPr>
            <w:u w:val="single"/>
          </w:rPr>
          <w:t>https://doi.org/10.1017/9781009325844.015</w:t>
        </w:r>
      </w:hyperlink>
      <w:r>
        <w:br/>
        <w:t xml:space="preserve">Alternative direct download: </w:t>
      </w:r>
      <w:hyperlink r:id="rId14">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5">
        <w:r>
          <w:rPr>
            <w:u w:val="single"/>
          </w:rPr>
          <w:t>www.ipcc.ch/report/ar6/wg2/downloads/report/IPCC_AR6_WGII_Chapter13_SM.pdf</w:t>
        </w:r>
      </w:hyperlink>
    </w:p>
    <w:p>
      <w:pPr>
        <w:pStyle w:val="Heading1"/>
      </w:pPr>
      <w:r>
        <w:t>Descargo de responsabilidad:</w:t>
      </w:r>
    </w:p>
    <w:p>
      <w:r>
        <w:t>El proyecto Embers Explorer no está afiliado al IPCC, no está aprobado ni autorizado por el IPCC y no es un producto del IPCC. Las figuras aquí presentadas no son figuras del IPCC, no han sido sometidas a procesos formales de revisión del IPCC y no han sido aprobadas por el IPCC. El IPCC no asume responsabilidad alguna por su exactitud.</w:t>
      </w:r>
    </w:p>
    <w:p>
      <w:r>
        <w:t>No obstante, se hace todo lo posible para garantizar que los datos resultantes de las evaluaciones del IPCC se representen aquí con exactitud, con la debida referencia a las fuentes.</w:t>
      </w:r>
    </w:p>
    <w:p>
      <w:r>
        <w:t>Un archivo de la base de datos en la que se basa esta aplicación está disponible en Zenodo (</w:t>
      </w:r>
      <w:hyperlink r:id="rId16">
        <w:r>
          <w:rPr>
            <w:u w:val="single"/>
          </w:rPr>
          <w:t>doi.org/10.5281/zenodo.12626977</w:t>
        </w:r>
      </w:hyperlink>
      <w:r>
        <w:t>) bajo licencia CC-BY 4.0. Hemos confirmado con el IPCC que estos datos pueden distribuirse de esta forma.</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39" TargetMode="External"/><Relationship Id="rId11" Type="http://schemas.openxmlformats.org/officeDocument/2006/relationships/hyperlink" Target="https://climrisk.org/cree/ember/141" TargetMode="External"/><Relationship Id="rId12" Type="http://schemas.openxmlformats.org/officeDocument/2006/relationships/hyperlink" Target="https://climrisk.org/cree/ember/143" TargetMode="External"/><Relationship Id="rId13" Type="http://schemas.openxmlformats.org/officeDocument/2006/relationships/hyperlink" Target="https://doi.org/10.1017/9781009325844.015" TargetMode="External"/><Relationship Id="rId14" Type="http://schemas.openxmlformats.org/officeDocument/2006/relationships/hyperlink" Target="https://www.ipcc.ch/report/ar6/wg2/downloads/report/IPCC_AR6_WGII_Chapter13.pdf" TargetMode="External"/><Relationship Id="rId15" Type="http://schemas.openxmlformats.org/officeDocument/2006/relationships/hyperlink" Target="https://www.ipcc.ch/report/ar6/wg2/downloads/report/IPCC_AR6_WGII_Chapter13_SM.pdf" TargetMode="External"/><Relationship Id="rId16"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