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Europa meridional: personas en riesgo de escasez de agua - alta adaptación</w:t>
      </w:r>
    </w:p>
    <w:p>
      <w:pPr>
        <w:pStyle w:val="Warning"/>
      </w:pPr>
      <w:r>
        <w:t>Traducción automática</w:t>
      </w:r>
    </w:p>
    <w:tbl>
      <w:tblPr>
        <w:tblW w:type="auto" w:w="0"/>
        <w:tblLook w:firstColumn="1" w:firstRow="1" w:lastColumn="0" w:lastRow="0" w:noHBand="0" w:noVBand="1" w:val="04A0"/>
      </w:tblPr>
      <w:tblGrid>
        <w:gridCol w:w="4320"/>
        <w:gridCol w:w="4320"/>
      </w:tblGrid>
      <w:tr>
        <w:tc>
          <w:tcPr>
            <w:tcW w:type="dxa" w:w="6803"/>
          </w:tcPr>
          <w:p>
            <w:r>
              <w:t>Resumen del riesgo evaluado:</w:t>
            </w:r>
          </w:p>
          <w:p>
            <w:r>
              <w:t>Riesgo de escasez de agua en el sur de Europa con alta adaptación, incluyendo impactos en cascada más allá del sector del agua (como la agricultura, la energía y el transporte marítimo). [13.10.2.3]</w:t>
            </w:r>
          </w:p>
          <w:p>
            <w:r>
              <w:t>Database id: 141 (</w:t>
            </w:r>
            <w:hyperlink r:id="rId10">
              <w:r>
                <w:rPr>
                  <w:u w:val="single"/>
                </w:rPr>
                <w:t>link</w:t>
              </w:r>
            </w:hyperlink>
            <w:r>
              <w:t>).</w:t>
            </w:r>
            <w:r>
              <w:t xml:space="preserve"> Scenario: High adaptation.</w:t>
            </w:r>
          </w:p>
          <w:p>
            <w:r>
              <w:t>Esta brasa se encuentra en la(s) siguiente(s) figura(s):</w:t>
              <w:br/>
            </w:r>
            <w:r>
              <w:t xml:space="preserve">Figure 13.31 (a) of AR6-WGII-Chapter13; </w:t>
            </w:r>
            <w:r>
              <w:br/>
              <w:t>(por regla general, los resúmenes no figuran aquí)</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Transiciones: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medium confidence</w:t>
            </w:r>
          </w:p>
        </w:tc>
      </w:tr>
      <w:tr>
        <w:tc>
          <w:tcPr>
            <w:tcW w:type="dxa" w:w="787"/>
          </w:tcPr>
          <w:p>
            <w:r>
              <w:t>max</w:t>
            </w:r>
          </w:p>
        </w:tc>
        <w:tc>
          <w:tcPr>
            <w:tcW w:type="dxa" w:w="787"/>
          </w:tcPr>
          <w:p>
            <w:r>
              <w:t>1.3</w:t>
            </w:r>
          </w:p>
        </w:tc>
        <w:tc>
          <w:tcPr>
            <w:tcW w:type="dxa" w:w="2880"/>
            <w:vMerge/>
          </w:tcPr>
          <w:p/>
        </w:tc>
      </w:tr>
    </w:tbl>
    <w:p>
      <w:r>
        <w:t>En el momento de redactar este documento (en torno a 1 °C GWL), ya existía un déficit de adaptación que podría abordarse. Las mejoras en la eficiencia hídrica y los cambios de comportamiento pueden ser eficaces en algunos escenarios de SSP [Tabla SM13.29].</w:t>
      </w:r>
    </w:p>
    <w:p>
      <w:pPr>
        <w:pStyle w:val="Heading1"/>
      </w:pPr>
      <w:r>
        <w:t>Transiciones: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1.8</w:t>
            </w:r>
          </w:p>
        </w:tc>
        <w:tc>
          <w:tcPr>
            <w:tcW w:type="dxa" w:w="2362"/>
            <w:vMerge w:val="restart"/>
            <w:vAlign w:val="center"/>
          </w:tcPr>
          <w:p>
            <w:r>
              <w:rPr>
                <w:i/>
              </w:rPr>
              <w:t>medium confidence</w:t>
            </w:r>
          </w:p>
        </w:tc>
      </w:tr>
      <w:tr>
        <w:tc>
          <w:tcPr>
            <w:tcW w:type="dxa" w:w="787"/>
          </w:tcPr>
          <w:p>
            <w:r>
              <w:t>max</w:t>
            </w:r>
          </w:p>
        </w:tc>
        <w:tc>
          <w:tcPr>
            <w:tcW w:type="dxa" w:w="787"/>
          </w:tcPr>
          <w:p>
            <w:r>
              <w:t>2.2</w:t>
            </w:r>
          </w:p>
        </w:tc>
        <w:tc>
          <w:tcPr>
            <w:tcW w:type="dxa" w:w="2880"/>
            <w:vMerge/>
          </w:tcPr>
          <w:p/>
        </w:tc>
      </w:tr>
    </w:tbl>
    <w:p>
      <w:r>
        <w:t>Es necesario invertir en grandes infraestructuras hídricas y tecnologías avanzadas (incluido el almacenamiento), el trasvase de agua, el reciclado y la reutilización del agua, y la desalinización. Añadiendo estas medidas de adaptación a las relacionadas con la demanda de agua, la transición se desplaza 0,5 °C GWL hacia arriba en comparación con una adaptación baja [Tabla SM13.29, figura 13.31].</w:t>
      </w:r>
    </w:p>
    <w:p>
      <w:pPr>
        <w:pStyle w:val="Heading1"/>
      </w:pPr>
      <w:r>
        <w:t>Transiciones: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2.8</w:t>
            </w:r>
          </w:p>
        </w:tc>
        <w:tc>
          <w:tcPr>
            <w:tcW w:type="dxa" w:w="2362"/>
            <w:vMerge w:val="restart"/>
            <w:vAlign w:val="center"/>
          </w:tcPr>
          <w:p>
            <w:r>
              <w:rPr>
                <w:i/>
              </w:rPr>
              <w:t>low confidence</w:t>
            </w:r>
          </w:p>
        </w:tc>
      </w:tr>
      <w:tr>
        <w:tc>
          <w:tcPr>
            <w:tcW w:type="dxa" w:w="787"/>
          </w:tcPr>
          <w:p>
            <w:r>
              <w:t>max</w:t>
            </w:r>
          </w:p>
        </w:tc>
        <w:tc>
          <w:tcPr>
            <w:tcW w:type="dxa" w:w="787"/>
          </w:tcPr>
          <w:p>
            <w:r>
              <w:t>3.8</w:t>
            </w:r>
          </w:p>
        </w:tc>
        <w:tc>
          <w:tcPr>
            <w:tcW w:type="dxa" w:w="2880"/>
            <w:vMerge/>
          </w:tcPr>
          <w:p/>
        </w:tc>
      </w:tr>
    </w:tbl>
    <w:p>
      <w:r>
        <w:t>Es necesaria una adaptación transformadora; en última instancia, puede ser necesaria la reubicación planificada de la industria y el desarrollo de medios de vida alternativos. Existen compensaciones con otras opciones de adaptación que requieren agua (en particular, el regadío). Una adaptación elevada desplaza la transición a un riesgo muy elevado en unos 0,2 - 0,3 °C.  [Tabla SM13.29, figura 13.30].</w:t>
      </w:r>
    </w:p>
    <w:p>
      <w:r>
        <w:t>La adaptación se hace cada vez más difícil a partir de los 3 °C de GWL, debido a los límites geofísicos y tecnológicos; es probable que los límites duros se alcancen primero en partes del sur de Europa. [ES]</w:t>
      </w:r>
    </w:p>
    <w:p>
      <w:pPr>
        <w:pStyle w:val="Heading1"/>
      </w:pPr>
      <w:r>
        <w:t>Información complementaria</w:t>
      </w:r>
    </w:p>
    <w:p>
      <w:r>
        <w:t xml:space="preserve">La descripción de las transiciones proporcionada en el informe es limitada; parte del texto proporcionado aquí refleja nuestra comprensión, más allá de la redacción del informe. Según el documento de referencia, es principalmente la SSP1 la que se considera de alta adaptación en la declaración sobre eficiencia hídrica y cambio de comportamiento [Papadimitriou, et al. 2019, </w:t>
      </w:r>
      <w:hyperlink r:id="rId11">
        <w:r>
          <w:rPr>
            <w:u w:val="single"/>
          </w:rPr>
          <w:t>https://doi.org/10.1016/j.scitotenv.2019.134027</w:t>
        </w:r>
      </w:hyperlink>
      <w:r>
        <w:t>].</w:t>
      </w:r>
    </w:p>
    <w:p>
      <w:pPr>
        <w:pStyle w:val="Heading1"/>
      </w:pPr>
      <w:r>
        <w:t>Referencia de los datos de origen:</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2">
        <w:r>
          <w:rPr>
            <w:u w:val="single"/>
          </w:rPr>
          <w:t>https://doi.org/10.1017/9781009325844.015</w:t>
        </w:r>
      </w:hyperlink>
      <w:r>
        <w:br/>
        <w:t xml:space="preserve">Alternative direct download: </w:t>
      </w:r>
      <w:hyperlink r:id="rId13">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www.ipcc.ch/report/ar6/wg2/downloads/report/IPCC_AR6_WGII_Chapter13_SM.pdf</w:t>
        </w:r>
      </w:hyperlink>
    </w:p>
    <w:p>
      <w:pPr>
        <w:pStyle w:val="Heading1"/>
      </w:pPr>
      <w:r>
        <w:t>Descargo de responsabilidad:</w:t>
      </w:r>
    </w:p>
    <w:p>
      <w:r>
        <w:t>El proyecto Embers Explorer no está afiliado al IPCC, no está aprobado ni autorizado por el IPCC y no es un producto del IPCC. Las figuras aquí presentadas no son figuras del IPCC, no han sido sometidas a procesos formales de revisión del IPCC y no han sido aprobadas por el IPCC. El IPCC no asume responsabilidad alguna por su exactitud.</w:t>
      </w:r>
    </w:p>
    <w:p>
      <w:r>
        <w:t>No obstante, se hace todo lo posible para garantizar que los datos resultantes de las evaluaciones del IPCC se representen aquí con exactitud, con la debida referencia a las fuentes.</w:t>
      </w:r>
    </w:p>
    <w:p>
      <w:r>
        <w:t>Un archivo de la base de datos en la que se basa esta aplicación está disponible en Zenodo (</w:t>
      </w:r>
      <w:hyperlink r:id="rId15">
        <w:r>
          <w:rPr>
            <w:u w:val="single"/>
          </w:rPr>
          <w:t>doi.org/10.5281/zenodo.12626977</w:t>
        </w:r>
      </w:hyperlink>
      <w:r>
        <w:t>) bajo licencia CC-BY 4.0. Hemos confirmado con el IPCC que estos datos pueden distribuirse de esta forma.</w:t>
      </w:r>
    </w:p>
    <w:p>
      <w:r>
        <w:t>[This file was generated by the Embers Explorer 1.4.0 on 2025-08-06.]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41" TargetMode="External"/><Relationship Id="rId11" Type="http://schemas.openxmlformats.org/officeDocument/2006/relationships/hyperlink" Target="https://doi.org/10.1016/j.scitotenv.2019.134027" TargetMode="External"/><Relationship Id="rId12" Type="http://schemas.openxmlformats.org/officeDocument/2006/relationships/hyperlink" Target="https://doi.org/10.1017/9781009325844.015" TargetMode="External"/><Relationship Id="rId13" Type="http://schemas.openxmlformats.org/officeDocument/2006/relationships/hyperlink" Target="https://www.ipcc.ch/report/ar6/wg2/downloads/report/IPCC_AR6_WGII_Chapter13.pdf" TargetMode="External"/><Relationship Id="rId14" Type="http://schemas.openxmlformats.org/officeDocument/2006/relationships/hyperlink" Target="https://www.ipcc.ch/report/ar6/wg2/downloads/report/IPCC_AR6_WGII_Chapter13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