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Europa Occidental y Central: personas en riesgo de escasez de agua - alta adaptación</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Riesgo de escasez de agua en Europa Occidental y Central con una adaptación elevada, incluyendo impactos en cascada más allá del sector del agua (como la agricultura, la energía y el transporte marítimo). [13.10.2.3]</w:t>
            </w:r>
          </w:p>
          <w:p>
            <w:r>
              <w:t>Database id: 143 (</w:t>
            </w:r>
            <w:hyperlink r:id="rId10">
              <w:r>
                <w:rPr>
                  <w:u w:val="single"/>
                </w:rPr>
                <w:t>link</w:t>
              </w:r>
            </w:hyperlink>
            <w:r>
              <w:t>).</w:t>
            </w:r>
            <w:r>
              <w:t xml:space="preserve"> Scenario: High adaptation.</w:t>
            </w:r>
          </w:p>
          <w:p>
            <w:r>
              <w:t>Esta brasa se encuentra en la(s) siguiente(s) figura(s):</w:t>
              <w:br/>
            </w:r>
            <w:r>
              <w:t xml:space="preserve">Figure 13.31 (a) of AR6-WGII-Chapter13;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1.5</w:t>
            </w:r>
          </w:p>
        </w:tc>
        <w:tc>
          <w:tcPr>
            <w:tcW w:type="dxa" w:w="2362"/>
            <w:vMerge w:val="restart"/>
            <w:vAlign w:val="center"/>
          </w:tcPr>
          <w:p>
            <w:r>
              <w:rPr>
                <w:i/>
              </w:rPr>
              <w:t>medium confidence</w:t>
            </w:r>
          </w:p>
        </w:tc>
      </w:tr>
      <w:tr>
        <w:tc>
          <w:tcPr>
            <w:tcW w:type="dxa" w:w="787"/>
          </w:tcPr>
          <w:p>
            <w:r>
              <w:t>max</w:t>
            </w:r>
          </w:p>
        </w:tc>
        <w:tc>
          <w:tcPr>
            <w:tcW w:type="dxa" w:w="787"/>
          </w:tcPr>
          <w:p>
            <w:r>
              <w:t>2.5</w:t>
            </w:r>
          </w:p>
        </w:tc>
        <w:tc>
          <w:tcPr>
            <w:tcW w:type="dxa" w:w="2880"/>
            <w:vMerge/>
          </w:tcPr>
          <w:p/>
        </w:tc>
      </w:tr>
    </w:tbl>
    <w:p>
      <w:r>
        <w:t>Actualmente existe un déficit de adaptación que puede abordarse. Existe un gran potencial de mejora de la eficiencia hídrica y de ahorro de agua. La normativa, la tarificación y la fiscalidad pueden contribuir a reducir la demanda de agua. [Tabla SM13.29, figura 13.31(b), 13.2.2.2].</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3.0</w:t>
            </w:r>
          </w:p>
        </w:tc>
        <w:tc>
          <w:tcPr>
            <w:tcW w:type="dxa" w:w="2362"/>
            <w:vMerge w:val="restart"/>
            <w:vAlign w:val="center"/>
          </w:tcPr>
          <w:p>
            <w:r>
              <w:rPr>
                <w:i/>
              </w:rPr>
              <w:t>medium confidence</w:t>
            </w:r>
          </w:p>
        </w:tc>
      </w:tr>
      <w:tr>
        <w:tc>
          <w:tcPr>
            <w:tcW w:type="dxa" w:w="787"/>
          </w:tcPr>
          <w:p>
            <w:r>
              <w:t>max</w:t>
            </w:r>
          </w:p>
        </w:tc>
        <w:tc>
          <w:tcPr>
            <w:tcW w:type="dxa" w:w="787"/>
          </w:tcPr>
          <w:p>
            <w:r>
              <w:t>4.0</w:t>
            </w:r>
          </w:p>
        </w:tc>
        <w:tc>
          <w:tcPr>
            <w:tcW w:type="dxa" w:w="2880"/>
            <w:vMerge/>
          </w:tcPr>
          <w:p/>
        </w:tc>
      </w:tr>
    </w:tbl>
    <w:p>
      <w:r>
        <w:t>Existe un potencial considerable para la inversión en grandes infraestructuras hídricas y tecnologías avanzadas (incluido el almacenamiento), el trasvase de agua (con posibles impactos distributivos), el reciclaje y la reutilización del agua (que requieren tiempo para el desarrollo de infraestructuras) y la desalinización (aunque con efectos adversos sobre el medio ambiente y la demanda energética). [13.10.2.3, tabla SM13.29 y figura 13.31(b)].</w:t>
      </w:r>
    </w:p>
    <w:p>
      <w:r>
        <w:t>Con un calentamiento global elevado, se necesita una amplia cartera de medidas para reducir suficientemente el riesgo de escasez de agua [figura 13.31(b)].</w:t>
      </w:r>
    </w:p>
    <w:p>
      <w:pPr>
        <w:pStyle w:val="Heading1"/>
      </w:pPr>
      <w:r>
        <w:t>Información complementaria</w:t>
      </w:r>
    </w:p>
    <w:p>
      <w:r>
        <w:t>En Europa del Este, la incertidumbre sobre los cambios en la escasez de agua plantea distintos retos para la adaptación. [13.2.1.2.2]</w:t>
      </w:r>
    </w:p>
    <w:p>
      <w:r>
        <w:t xml:space="preserve">Nota: El hecho de que los riesgos sean menores en Europa Occidental y Central (EOC) en comparación con el sur de Europa contribuye probablemente a la menor cantidad de información específicamente relacionada con la EOC, incluso sobre la eficacia de las opciones de adaptación a diferentes niveles de calentamiento. Parte del texto que se ofrece aquí, y la forma en que se sitúa con respecto a las transiciones de riesgo, refleja nuestra comprensión del informe, más allá de la redacción original exacta. Debido a la limitada información específica sobre las regiones y los niveles de calentamiento, las explicaciones que aquí se ofrecen sobre las transiciones pueden estar incompletas. Los niveles de confianza reflejan la figura 13.31, así como la fe de erratas disponible en </w:t>
      </w:r>
      <w:hyperlink r:id="rId11">
        <w:r>
          <w:rPr>
            <w:u w:val="single"/>
          </w:rPr>
          <w:t>ipcc.ch</w:t>
        </w:r>
      </w:hyperlink>
      <w:r>
        <w:t xml:space="preserve"> en relación con la tabla SM13.29.</w:t>
      </w:r>
    </w:p>
    <w:p>
      <w:r>
        <w:t>Esta información fue completada sobre la base del IE6 por Philippe Marbaix en abril de 2025. Los comentarios son bienvenidos.</w:t>
      </w:r>
    </w:p>
    <w:p>
      <w:pPr>
        <w:pStyle w:val="Heading1"/>
      </w:pPr>
      <w:r>
        <w:t>Fuente de referencia</w:t>
      </w:r>
    </w:p>
    <w:p>
      <w:r>
        <w:t>Table SM13.29</w:t>
      </w:r>
    </w:p>
    <w:p>
      <w:pPr>
        <w:pStyle w:val="Heading1"/>
      </w:pPr>
      <w:r>
        <w:t>Referencia de los datos de origen:</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5">
        <w:r>
          <w:rPr>
            <w:u w:val="single"/>
          </w:rPr>
          <w:t>doi.org/10.5281/zenodo.12626977</w:t>
        </w:r>
      </w:hyperlink>
      <w:r>
        <w:t>) bajo licencia CC-BY 4.0. Hemos confirmado con el IPCC que estos datos pueden distribuirse de esta forma.</w:t>
      </w:r>
    </w:p>
    <w:p>
      <w:r>
        <w:t>[This file was generated by the Embers Explorer 1.4.0 on 2025-08-06.]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3" TargetMode="External"/><Relationship Id="rId11" Type="http://schemas.openxmlformats.org/officeDocument/2006/relationships/hyperlink" Target="https://www.ipcc.ch/report/ar6/wg2/downloads/report/IPCC_AR6_WGII_Errata.pdf"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