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Norteamérica: silvicultura</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cambios en la calidad y cantidad de los rendimientos madereros. [Figura 14.10]</w:t>
            </w:r>
          </w:p>
          <w:p>
            <w:r>
              <w:t>Database id: 164 (</w:t>
            </w:r>
            <w:hyperlink r:id="rId10">
              <w:r>
                <w:rPr>
                  <w:u w:val="single"/>
                </w:rPr>
                <w:t>link</w:t>
              </w:r>
            </w:hyperlink>
            <w:r>
              <w:t>).</w:t>
            </w:r>
          </w:p>
          <w:p>
            <w:r>
              <w:t>Esta brasa se encuentra en la(s) siguiente(s) figura(s):</w:t>
              <w:br/>
            </w:r>
            <w:r>
              <w:t xml:space="preserve">Figure 14.10 of AR6-WGII-Chapter14;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0.0</w:t>
            </w:r>
          </w:p>
        </w:tc>
        <w:tc>
          <w:tcPr>
            <w:tcW w:type="dxa" w:w="2362"/>
            <w:vMerge w:val="restart"/>
            <w:vAlign w:val="center"/>
          </w:tcPr>
          <w:p>
            <w:r>
              <w:rPr>
                <w:i/>
              </w:rPr>
              <w:t>high confidence</w:t>
            </w:r>
          </w:p>
        </w:tc>
      </w:tr>
      <w:tr>
        <w:tc>
          <w:tcPr>
            <w:tcW w:type="dxa" w:w="787"/>
          </w:tcPr>
          <w:p>
            <w:r>
              <w:t>max</w:t>
            </w:r>
          </w:p>
        </w:tc>
        <w:tc>
          <w:tcPr>
            <w:tcW w:type="dxa" w:w="787"/>
          </w:tcPr>
          <w:p>
            <w:r>
              <w:t>1.5</w:t>
            </w:r>
          </w:p>
        </w:tc>
        <w:tc>
          <w:tcPr>
            <w:tcW w:type="dxa" w:w="2880"/>
            <w:vMerge/>
          </w:tcPr>
          <w:p/>
        </w:tc>
      </w:tr>
    </w:tbl>
    <w:p>
      <w:r>
        <w:t>(Aún no se dispone de información sobre esta transición)</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1.7</w:t>
            </w:r>
          </w:p>
        </w:tc>
        <w:tc>
          <w:tcPr>
            <w:tcW w:type="dxa" w:w="2362"/>
            <w:vMerge w:val="restart"/>
            <w:vAlign w:val="center"/>
          </w:tcPr>
          <w:p>
            <w:r>
              <w:rPr>
                <w:i/>
              </w:rPr>
              <w:t>medium confidence</w:t>
            </w:r>
          </w:p>
        </w:tc>
      </w:tr>
      <w:tr>
        <w:tc>
          <w:tcPr>
            <w:tcW w:type="dxa" w:w="787"/>
          </w:tcPr>
          <w:p>
            <w:r>
              <w:t>max</w:t>
            </w:r>
          </w:p>
        </w:tc>
        <w:tc>
          <w:tcPr>
            <w:tcW w:type="dxa" w:w="787"/>
          </w:tcPr>
          <w:p>
            <w:r>
              <w:t>2.0</w:t>
            </w:r>
          </w:p>
        </w:tc>
        <w:tc>
          <w:tcPr>
            <w:tcW w:type="dxa" w:w="2880"/>
            <w:vMerge/>
          </w:tcPr>
          <w:p/>
        </w:tc>
      </w:tr>
    </w:tbl>
    <w:p>
      <w:r>
        <w:t>(Aún no se dispone de información sobre esta transición)</w:t>
      </w:r>
    </w:p>
    <w:p>
      <w:pPr>
        <w:pStyle w:val="Heading1"/>
      </w:pPr>
      <w:r>
        <w:t>Transiciones: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2.2</w:t>
            </w:r>
          </w:p>
        </w:tc>
        <w:tc>
          <w:tcPr>
            <w:tcW w:type="dxa" w:w="2362"/>
            <w:vMerge w:val="restart"/>
            <w:vAlign w:val="center"/>
          </w:tcPr>
          <w:p>
            <w:r>
              <w:rPr>
                <w:i/>
              </w:rPr>
              <w:t>low confidence</w:t>
            </w:r>
          </w:p>
        </w:tc>
      </w:tr>
      <w:tr>
        <w:tc>
          <w:tcPr>
            <w:tcW w:type="dxa" w:w="787"/>
          </w:tcPr>
          <w:p>
            <w:r>
              <w:t>max</w:t>
            </w:r>
          </w:p>
        </w:tc>
        <w:tc>
          <w:tcPr>
            <w:tcW w:type="dxa" w:w="787"/>
          </w:tcPr>
          <w:p>
            <w:r>
              <w:t>4.0</w:t>
            </w:r>
          </w:p>
        </w:tc>
        <w:tc>
          <w:tcPr>
            <w:tcW w:type="dxa" w:w="2880"/>
            <w:vMerge/>
          </w:tcPr>
          <w:p/>
        </w:tc>
      </w:tr>
    </w:tbl>
    <w:p>
      <w:r>
        <w:t>(Aún no se dispone de información sobre esta transición)</w:t>
      </w:r>
    </w:p>
    <w:p>
      <w:pPr>
        <w:pStyle w:val="Heading1"/>
      </w:pPr>
      <w:r>
        <w:t>Referencia de los datos de origen:</w:t>
      </w:r>
    </w:p>
    <w:p>
      <w:r>
        <w:t xml:space="preserve">Hicke, J.A., S. Lucatello, L.D., Mortsch, J. Dawson, M. Domínguez Aguilar, C.A.F. Enquist, E.A. Gilmore, D.S. Gutzler, S. Harper, K. Holsman, E.B. Jewett, T.A. Kohler, and K.A. Miller, 2022: North America.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1929-2042. </w:t>
      </w:r>
      <w:hyperlink r:id="rId11">
        <w:r>
          <w:rPr>
            <w:u w:val="single"/>
          </w:rPr>
          <w:t>https://doi.org/10.1017/9781009325844.016</w:t>
        </w:r>
      </w:hyperlink>
      <w:r>
        <w:br/>
        <w:t xml:space="preserve">Alternative direct download: </w:t>
      </w:r>
      <w:hyperlink r:id="rId12">
        <w:r>
          <w:rPr>
            <w:u w:val="single"/>
          </w:rPr>
          <w:t>www.ipcc.ch/report/ar6/wg2/downloads/report/IPCC_AR6_WGII_Chapter14.pdf</w:t>
        </w:r>
      </w:hyperlink>
    </w:p>
    <w:p>
      <w:r>
        <w:t xml:space="preserve">Hicke, J.A., S. Lucatello, L.D., Mortsch, J. Dawson, M. Domínguez Aguilar, C.A.F. Enquist, E.A. Gilmore, D.S. Gutzler, S. Harper, K. Holsman, E.B. Jewett, T.A. Kohler, and K.A. Miller, 2022: North America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www.ipcc.ch/report/ar6/wg2/downloads/report/IPCC_AR6_WGII_Chapter14_SM.pdf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4">
        <w:r>
          <w:rPr>
            <w:u w:val="single"/>
          </w:rPr>
          <w:t>doi.org/10.5281/zenodo.12626977</w:t>
        </w:r>
      </w:hyperlink>
      <w:r>
        <w:t>) bajo licencia CC-BY 4.0. Hemos confirmado con el IPCC que estos datos pueden distribuirse de esta forma.</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64" TargetMode="External"/><Relationship Id="rId11" Type="http://schemas.openxmlformats.org/officeDocument/2006/relationships/hyperlink" Target="https://doi.org/10.1017/9781009325844.016" TargetMode="External"/><Relationship Id="rId12" Type="http://schemas.openxmlformats.org/officeDocument/2006/relationships/hyperlink" Target="https://www.ipcc.ch/report/ar6/wg2/downloads/report/IPCC_AR6_WGII_Chapter14.pdf" TargetMode="External"/><Relationship Id="rId13" Type="http://schemas.openxmlformats.org/officeDocument/2006/relationships/hyperlink" Target="https://www.ipcc.ch/report/ar6/wg2/downloads/report/IPCC_AR6_WGII_Chapter14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