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Paludismo - adaptación proactiva</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p>
            <w:r>
              <w:t>(Descripción aún no disponible)</w:t>
            </w:r>
          </w:p>
          <w:p>
            <w:r>
              <w:t>Database id: 178 (</w:t>
            </w:r>
            <w:hyperlink r:id="rId10">
              <w:r>
                <w:rPr>
                  <w:u w:val="single"/>
                </w:rPr>
                <w:t>link</w:t>
              </w:r>
            </w:hyperlink>
            <w:r>
              <w:t>).</w:t>
            </w:r>
            <w:r>
              <w:t xml:space="preserve"> Scenario: High adaptation.</w:t>
            </w:r>
          </w:p>
          <w:p>
            <w:r>
              <w:t>Esta brasa se encuentra en la(s) siguiente(s) figura(s):</w:t>
              <w:br/>
            </w:r>
            <w:r>
              <w:t xml:space="preserve">Figure 7.9 of AR6-WGII-Chapter7;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1.8</w:t>
            </w:r>
          </w:p>
        </w:tc>
        <w:tc>
          <w:tcPr>
            <w:tcW w:type="dxa" w:w="2880"/>
            <w:vMerge/>
          </w:tcPr>
          <w:p/>
        </w:tc>
      </w:tr>
    </w:tbl>
    <w:p>
      <w:r>
        <w:t>(Aún no se dispone de información sobre esta transición)</w:t>
      </w:r>
    </w:p>
    <w:p>
      <w:pPr>
        <w:pStyle w:val="Heading1"/>
      </w:pPr>
      <w:r>
        <w:t>Fuente de referencia</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Referencia de los datos de origen:</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6">
        <w:r>
          <w:rPr>
            <w:u w:val="single"/>
          </w:rPr>
          <w:t>doi.org/10.5281/zenodo.12626977</w:t>
        </w:r>
      </w:hyperlink>
      <w:r>
        <w:t>) bajo licencia CC-BY 4.0. Hemos confirmado con el IPCC que estos datos pueden distribuirse de esta forma.</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8"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