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Ecosistemas de playas arenosas</w:t>
      </w:r>
    </w:p>
    <w:p>
      <w:pPr>
        <w:pStyle w:val="Warning"/>
      </w:pPr>
      <w:r>
        <w:t>Traducción automática</w:t>
      </w:r>
    </w:p>
    <w:tbl>
      <w:tblPr>
        <w:tblW w:type="auto" w:w="0"/>
        <w:tblLook w:firstColumn="1" w:firstRow="1" w:lastColumn="0" w:lastRow="0" w:noHBand="0" w:noVBand="1" w:val="04A0"/>
      </w:tblPr>
      <w:tblGrid>
        <w:gridCol w:w="4320"/>
        <w:gridCol w:w="4320"/>
      </w:tblGrid>
      <w:tr>
        <w:tc>
          <w:tcPr>
            <w:tcW w:type="dxa" w:w="6803"/>
          </w:tcPr>
          <w:p>
            <w:r>
              <w:t>Resumen del riesgo evaluado:</w:t>
            </w:r>
          </w:p>
          <w:p>
            <w:r>
              <w:t>Aumento de la erosión/pérdida de sedimentos relacionada con tormentas, olas y SLR, así como impactos del calentamiento y la acidificación en las especies (migración, reducción del tamaño corporal, mortalidad). Cambios en la morfología de las playas, formación de cicatrices en las dunas, pérdida de vegetación, reducción de la superficie de las playas y de los lugares de anidamiento de las tortugas. Las playas arenosas son sistemas altamente dinámicos (por ejemplo, mediante la reubicación de sedimentos y la expansión hacia tierra), con una capacidad de adaptación natural que incluye la redistribución de especies; sin embargo, las actividades humanas limitan esta adaptación natural, en particular restringiendo la migración hacia tierra ("compresión costera"). [5.ES, 5.3.7, Tabla SM5.8a].</w:t>
            </w:r>
          </w:p>
          <w:p>
            <w:r>
              <w:t>Database id: 67 (</w:t>
            </w:r>
            <w:hyperlink r:id="rId10">
              <w:r>
                <w:rPr>
                  <w:u w:val="single"/>
                </w:rPr>
                <w:t>link</w:t>
              </w:r>
            </w:hyperlink>
            <w:r>
              <w:t>).</w:t>
            </w:r>
          </w:p>
          <w:p>
            <w:r>
              <w:t>Esta brasa se encuentra en la(s) siguiente(s) figura(s):</w:t>
              <w:br/>
            </w:r>
            <w:r>
              <w:t xml:space="preserve">Figure 5-16 of SROCC-Chapter5; </w:t>
            </w:r>
            <w:r>
              <w:br/>
              <w:t>(por regla general, los resúmenes no figuran aquí)</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Transiciones: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0.9</w:t>
            </w:r>
          </w:p>
        </w:tc>
        <w:tc>
          <w:tcPr>
            <w:tcW w:type="dxa" w:w="2362"/>
            <w:vMerge w:val="restart"/>
            <w:vAlign w:val="center"/>
          </w:tcPr>
          <w:p>
            <w:r>
              <w:rPr>
                <w:i/>
              </w:rPr>
              <w:t>medium confidence</w:t>
            </w:r>
          </w:p>
        </w:tc>
      </w:tr>
      <w:tr>
        <w:tc>
          <w:tcPr>
            <w:tcW w:type="dxa" w:w="787"/>
          </w:tcPr>
          <w:p>
            <w:r>
              <w:t>max</w:t>
            </w:r>
          </w:p>
        </w:tc>
        <w:tc>
          <w:tcPr>
            <w:tcW w:type="dxa" w:w="787"/>
          </w:tcPr>
          <w:p>
            <w:r>
              <w:t>1.8</w:t>
            </w:r>
          </w:p>
        </w:tc>
        <w:tc>
          <w:tcPr>
            <w:tcW w:type="dxa" w:w="2880"/>
            <w:vMerge/>
          </w:tcPr>
          <w:p/>
        </w:tc>
      </w:tr>
    </w:tbl>
    <w:p>
      <w:r>
        <w:t>En un escenario de bajas emisiones, se espera que el riesgo sea sólo ligeramente superior al actual. [5.3.7]</w:t>
      </w:r>
    </w:p>
    <w:p>
      <w:pPr>
        <w:pStyle w:val="Heading1"/>
      </w:pPr>
      <w:r>
        <w:t>Transiciones: moderate to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2.3</w:t>
            </w:r>
          </w:p>
        </w:tc>
        <w:tc>
          <w:tcPr>
            <w:tcW w:type="dxa" w:w="2362"/>
            <w:vMerge w:val="restart"/>
            <w:vAlign w:val="center"/>
          </w:tcPr>
          <w:p>
            <w:r>
              <w:rPr>
                <w:i/>
              </w:rPr>
              <w:t>low confidence</w:t>
            </w:r>
          </w:p>
        </w:tc>
      </w:tr>
      <w:tr>
        <w:tc>
          <w:tcPr>
            <w:tcW w:type="dxa" w:w="787"/>
          </w:tcPr>
          <w:p>
            <w:r>
              <w:t>max</w:t>
            </w:r>
          </w:p>
        </w:tc>
        <w:tc>
          <w:tcPr>
            <w:tcW w:type="dxa" w:w="787"/>
          </w:tcPr>
          <w:p>
            <w:r>
              <w:t>3.0</w:t>
            </w:r>
          </w:p>
        </w:tc>
        <w:tc>
          <w:tcPr>
            <w:tcW w:type="dxa" w:w="2880"/>
            <w:vMerge/>
          </w:tcPr>
          <w:p/>
        </w:tc>
      </w:tr>
    </w:tbl>
    <w:p>
      <w:r>
        <w:t>Se prevé que el riesgo de pérdida de hábitats para la flora y la fauna aumente hasta un nivel elevado en un escenario de emisiones elevadas para finales del siglo XXI [5.3.7].</w:t>
      </w:r>
    </w:p>
    <w:p>
      <w:pPr>
        <w:pStyle w:val="Heading1"/>
      </w:pPr>
      <w:r>
        <w:t>Fuente de referencia</w:t>
      </w:r>
    </w:p>
    <w:p>
      <w:r>
        <w:t>5.3.3, 5.3.7, Table SM5.8a, Table SM5.8b</w:t>
      </w:r>
    </w:p>
    <w:p>
      <w:pPr>
        <w:pStyle w:val="Heading1"/>
      </w:pPr>
      <w:r>
        <w:t>Referencia de los datos de origen:</w:t>
      </w:r>
    </w:p>
    <w:p>
      <w:r>
        <w:t xml:space="preserve">Bindoff, N.L., W.W.L. Cheung, J.G. Kairo, J. Arístegui, V.A. Guinder, R. Hallberg, N. Hilmi, N. Jiao, M.S. Karim, L. Levin, S. O’Donoghue, S.R. Purca Cuicapusa, B. Rinkevich, T. Suga, A. Tagliabue, and P. Williamson, 2019: Changing Ocean, Marine Ecosystems, and Dependent Communities.. In: </w:t>
      </w:r>
      <w:r>
        <w:rPr>
          <w:i/>
        </w:rPr>
        <w:t>IPCC Special Report on the Ocean and Cryosphere in a Changing Climate</w:t>
      </w:r>
      <w:r>
        <w:t xml:space="preserve"> [H.-O. Pörtner, D.C. Roberts, V. Masson-Delmotte, P. Zhai, M. Tignor, E. Poloczanska, K. Mintenbeck, A. Alegría, M. Nicolai, A. Okem, J. Petzold, B. Rama, N.M. Weyer (eds.)]. Cambridge University Press, Cambridge, UK and New York, NY, USA, pp. 447-587. </w:t>
      </w:r>
      <w:hyperlink r:id="rId11">
        <w:r>
          <w:rPr>
            <w:u w:val="single"/>
          </w:rPr>
          <w:t>https://doi.org/10.1017/9781009157964.007</w:t>
        </w:r>
      </w:hyperlink>
      <w:r>
        <w:br/>
        <w:t xml:space="preserve">Alternative direct download: </w:t>
      </w:r>
      <w:hyperlink r:id="rId12">
        <w:r>
          <w:rPr>
            <w:u w:val="single"/>
          </w:rPr>
          <w:t>www.ipcc.ch/site/assets/uploads/sites/3/2022/03/07_SROCC_Ch05_FINAL.pdf</w:t>
        </w:r>
      </w:hyperlink>
    </w:p>
    <w:p>
      <w:r>
        <w:t xml:space="preserve">Bindoff, N.L., W.W.L. Cheung, J.G. Kairo, J. Arístegui, V.A. Guinder, R. Hallberg, N. Hilmi, N. Jiao, M.S. Karim, L. Levin, S. O’Donoghue, S.R. Purca Cuicapusa, B. Rinkevich, T. Suga, A. Tagliabue, and P. Williamson, 2019: Changing Ocean, Marine Ecosystems, and Dependent Communities. Supplementary Material. In: </w:t>
      </w:r>
      <w:r>
        <w:rPr>
          <w:i/>
        </w:rPr>
        <w:t>IPCC Special Report on the Ocean and Cryosphere in a Changing Climate</w:t>
      </w:r>
      <w:r>
        <w:t xml:space="preserve"> [H.-O. Pörtner, D.C. Roberts, V. Masson-Delmotte, P. Zhai, M. Tignor, E. Poloczanska, K. Mintenbeck, A. Alegría, M. Nicolai, A. Okem, J. Petzold, B. Rama, N.M. Weyer (eds.)], url: </w:t>
      </w:r>
      <w:hyperlink r:id="rId13">
        <w:r>
          <w:rPr>
            <w:u w:val="single"/>
          </w:rPr>
          <w:t>www.ipcc.ch/site/assets/uploads/sites/3/2022/03/SROCC_Ch05-SM_FINAL.pdf</w:t>
        </w:r>
      </w:hyperlink>
    </w:p>
    <w:p>
      <w:pPr>
        <w:pStyle w:val="Heading1"/>
      </w:pPr>
      <w:r>
        <w:t>Descargo de responsabilidad:</w:t>
      </w:r>
    </w:p>
    <w:p>
      <w:r>
        <w:t>El proyecto Embers Explorer no está afiliado al IPCC, no está aprobado ni autorizado por el IPCC y no es un producto del IPCC. Las figuras aquí presentadas no son figuras del IPCC, no han sido sometidas a procesos formales de revisión del IPCC y no han sido aprobadas por el IPCC. El IPCC no asume responsabilidad alguna por su exactitud.</w:t>
      </w:r>
    </w:p>
    <w:p>
      <w:r>
        <w:t>No obstante, se hace todo lo posible para garantizar que los datos resultantes de las evaluaciones del IPCC se representen aquí con exactitud, con la debida referencia a las fuentes.</w:t>
      </w:r>
    </w:p>
    <w:p>
      <w:r>
        <w:t>Un archivo de la base de datos en la que se basa esta aplicación está disponible en Zenodo (</w:t>
      </w:r>
      <w:hyperlink r:id="rId14">
        <w:r>
          <w:rPr>
            <w:u w:val="single"/>
          </w:rPr>
          <w:t>doi.org/10.5281/zenodo.12626977</w:t>
        </w:r>
      </w:hyperlink>
      <w:r>
        <w:t>) bajo licencia CC-BY 4.0. Hemos confirmado con el IPCC que estos datos pueden distribuirse de esta forma.</w:t>
      </w:r>
    </w:p>
    <w:p>
      <w:r>
        <w:t>[This file was generated by the Embers Explorer 1.4.0 on 2025-08-05.]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67" TargetMode="External"/><Relationship Id="rId11" Type="http://schemas.openxmlformats.org/officeDocument/2006/relationships/hyperlink" Target="https://doi.org/10.1017/9781009157964.007" TargetMode="External"/><Relationship Id="rId12" Type="http://schemas.openxmlformats.org/officeDocument/2006/relationships/hyperlink" Target="https://www.ipcc.ch/site/assets/uploads/sites/3/2022/03/07_SROCC_Ch05_FINAL.pdf" TargetMode="External"/><Relationship Id="rId13" Type="http://schemas.openxmlformats.org/officeDocument/2006/relationships/hyperlink" Target="https://www.ipcc.ch/site/assets/uploads/sites/3/2022/03/SROCC_Ch05-SM_FINAL.pdf" TargetMode="External"/><Relationship Id="rId14"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