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Ecosistemas de costas rocosas</w:t>
      </w:r>
    </w:p>
    <w:p>
      <w:pPr>
        <w:pStyle w:val="Warning"/>
      </w:pPr>
      <w:r>
        <w:t>Traducción automática</w:t>
      </w:r>
    </w:p>
    <w:tbl>
      <w:tblPr>
        <w:tblW w:type="auto" w:w="0"/>
        <w:tblLook w:firstColumn="1" w:firstRow="1" w:lastColumn="0" w:lastRow="0" w:noHBand="0" w:noVBand="1" w:val="04A0"/>
      </w:tblPr>
      <w:tblGrid>
        <w:gridCol w:w="4320"/>
        <w:gridCol w:w="4320"/>
      </w:tblGrid>
      <w:tr>
        <w:tc>
          <w:tcPr>
            <w:tcW w:type="dxa" w:w="6803"/>
          </w:tcPr>
          <w:p>
            <w:r>
              <w:t>Resumen del riesgo evaluado:</w:t>
            </w:r>
          </w:p>
          <w:p>
            <w:r>
              <w:t>Los ecosistemas costeros rocosos abarcan las zonas intermareales y submareales poco profundas de las costas templadas del mundo y suelen estar dominados por mejillones calcáreos o algas marinas (macroalgas). La gran sensibilidad de los organismos sésiles (fijos en un lugar, por ejemplo, percebes o mejillones) a los fenómenos de temperaturas extremas (por ejemplo, mortalidad masiva y pérdida drástica de biodiversidad de los lechos de mejillones) y a la acidificación hace pensar que las especies de las costas rocosas corren un alto riesgo de sufrir cambios en su distribución y abundancia. En términos más generales, la biodiversidad, la estructura y el funcionamiento de los ecosistemas de las costas rocosas se ven amenazados por el calentamiento, la acidificación, la subida del nivel del mar y los fenómenos extremos. [Tabla SM5.8a, 5.3.5]</w:t>
            </w:r>
          </w:p>
          <w:p>
            <w:r>
              <w:t>Database id: 68 (</w:t>
            </w:r>
            <w:hyperlink r:id="rId10">
              <w:r>
                <w:rPr>
                  <w:u w:val="single"/>
                </w:rPr>
                <w:t>link</w:t>
              </w:r>
            </w:hyperlink>
            <w:r>
              <w:t>).</w:t>
            </w:r>
          </w:p>
          <w:p>
            <w:r>
              <w:t>Esta brasa se encuentra en la(s) siguiente(s) figura(s):</w:t>
              <w:br/>
            </w:r>
            <w:r>
              <w:t xml:space="preserve">Figure 5-16 of SROCC-Chapter5; </w:t>
            </w:r>
            <w:r>
              <w:br/>
              <w:t>(por regla general, los resúmenes no figuran aquí)</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Transiciones: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0.8</w:t>
            </w:r>
          </w:p>
        </w:tc>
        <w:tc>
          <w:tcPr>
            <w:tcW w:type="dxa" w:w="2362"/>
            <w:vMerge w:val="restart"/>
            <w:vAlign w:val="center"/>
          </w:tcPr>
          <w:p>
            <w:r>
              <w:rPr>
                <w:i/>
              </w:rPr>
              <w:t>medium confidence</w:t>
            </w:r>
          </w:p>
        </w:tc>
      </w:tr>
      <w:tr>
        <w:tc>
          <w:tcPr>
            <w:tcW w:type="dxa" w:w="787"/>
          </w:tcPr>
          <w:p>
            <w:r>
              <w:t>max</w:t>
            </w:r>
          </w:p>
        </w:tc>
        <w:tc>
          <w:tcPr>
            <w:tcW w:type="dxa" w:w="787"/>
          </w:tcPr>
          <w:p>
            <w:r>
              <w:t>1.3</w:t>
            </w:r>
          </w:p>
        </w:tc>
        <w:tc>
          <w:tcPr>
            <w:tcW w:type="dxa" w:w="2880"/>
            <w:vMerge/>
          </w:tcPr>
          <w:p/>
        </w:tc>
      </w:tr>
    </w:tbl>
    <w:p>
      <w:r>
        <w:t>Las extinciones locales en el límite ecuatorial o cálido de las áreas de distribución de las especies se atribuyen cada vez más al cambio climático. Los ecosistemas de costas rocosas intermareales corren un riesgo moderado en la actualidad. [5.3.5]</w:t>
      </w:r>
    </w:p>
    <w:p>
      <w:pPr>
        <w:pStyle w:val="Heading1"/>
      </w:pPr>
      <w:r>
        <w:t>Transiciones: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1.8</w:t>
            </w:r>
          </w:p>
        </w:tc>
        <w:tc>
          <w:tcPr>
            <w:tcW w:type="dxa" w:w="2362"/>
            <w:vMerge w:val="restart"/>
            <w:vAlign w:val="center"/>
          </w:tcPr>
          <w:p>
            <w:r>
              <w:rPr>
                <w:i/>
              </w:rPr>
              <w:t>medium confidence</w:t>
            </w:r>
          </w:p>
        </w:tc>
      </w:tr>
      <w:tr>
        <w:tc>
          <w:tcPr>
            <w:tcW w:type="dxa" w:w="787"/>
          </w:tcPr>
          <w:p>
            <w:r>
              <w:t>max</w:t>
            </w:r>
          </w:p>
        </w:tc>
        <w:tc>
          <w:tcPr>
            <w:tcW w:type="dxa" w:w="787"/>
          </w:tcPr>
          <w:p>
            <w:r>
              <w:t>2.7</w:t>
            </w:r>
          </w:p>
        </w:tc>
        <w:tc>
          <w:tcPr>
            <w:tcW w:type="dxa" w:w="2880"/>
            <w:vMerge/>
          </w:tcPr>
          <w:p/>
        </w:tc>
      </w:tr>
    </w:tbl>
    <w:p>
      <w:r>
        <w:t>(Aún no se dispone de información sobre esta transición)</w:t>
      </w:r>
    </w:p>
    <w:p>
      <w:pPr>
        <w:pStyle w:val="Heading1"/>
      </w:pPr>
      <w:r>
        <w:t>Transiciones: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2.9</w:t>
            </w:r>
          </w:p>
        </w:tc>
        <w:tc>
          <w:tcPr>
            <w:tcW w:type="dxa" w:w="2362"/>
            <w:vMerge w:val="restart"/>
            <w:vAlign w:val="center"/>
          </w:tcPr>
          <w:p>
            <w:r>
              <w:rPr>
                <w:i/>
              </w:rPr>
              <w:t>low confidence</w:t>
            </w:r>
          </w:p>
        </w:tc>
      </w:tr>
      <w:tr>
        <w:tc>
          <w:tcPr>
            <w:tcW w:type="dxa" w:w="787"/>
          </w:tcPr>
          <w:p>
            <w:r>
              <w:t>max</w:t>
            </w:r>
          </w:p>
        </w:tc>
        <w:tc>
          <w:tcPr>
            <w:tcW w:type="dxa" w:w="787"/>
          </w:tcPr>
          <w:p>
            <w:r>
              <w:t>3.4</w:t>
            </w:r>
          </w:p>
        </w:tc>
        <w:tc>
          <w:tcPr>
            <w:tcW w:type="dxa" w:w="2880"/>
            <w:vMerge/>
          </w:tcPr>
          <w:p/>
        </w:tc>
      </w:tr>
    </w:tbl>
    <w:p>
      <w:r>
        <w:t>Las costas rocosas se encuentran entre los ecosistemas costeros que se prevé que alcancen un riesgo muy elevado en escenarios de cambio climático elevado. [5.3.7]</w:t>
      </w:r>
    </w:p>
    <w:p>
      <w:pPr>
        <w:pStyle w:val="Heading1"/>
      </w:pPr>
      <w:r>
        <w:t>Información complementaria</w:t>
      </w:r>
    </w:p>
    <w:p>
      <w:r>
        <w:t>El capítulo 5 (en particular el 5.3.5) proporciona mucha más información sobre los ecosistemas de las costas rocosas de la que podríamos resumir aquí en texto; estos riesgos parecen bien estudiados.</w:t>
      </w:r>
    </w:p>
    <w:p>
      <w:pPr>
        <w:pStyle w:val="Heading1"/>
      </w:pPr>
      <w:r>
        <w:t>Fuente de referencia</w:t>
      </w:r>
    </w:p>
    <w:p>
      <w:r>
        <w:t>5.3.5, 5.3.7, Table SM5.8a</w:t>
      </w:r>
    </w:p>
    <w:p>
      <w:pPr>
        <w:pStyle w:val="Heading1"/>
      </w:pPr>
      <w:r>
        <w:t>Referencia de los datos de origen:</w:t>
      </w:r>
    </w:p>
    <w:p>
      <w:r>
        <w:t xml:space="preserve">Bindoff, N.L., W.W.L. Cheung, J.G. Kairo, J. Arístegui, V.A. Guinder, R. Hallberg, N. Hilmi, N. Jiao, M.S. Karim, L. Levin, S. O’Donoghue, S.R. Purca Cuicapusa, B. Rinkevich, T. Suga, A. Tagliabue, and P. Williamson, 2019: Changing Ocean, Marine Ecosystems, and Dependent Communities.. In: </w:t>
      </w:r>
      <w:r>
        <w:rPr>
          <w:i/>
        </w:rPr>
        <w:t>IPCC Special Report on the Ocean and Cryosphere in a Changing Climate</w:t>
      </w:r>
      <w:r>
        <w:t xml:space="preserve"> [H.-O. Pörtner, D.C. Roberts, V. Masson-Delmotte, P. Zhai, M. Tignor, E. Poloczanska, K. Mintenbeck, A. Alegría, M. Nicolai, A. Okem, J. Petzold, B. Rama, N.M. Weyer (eds.)]. Cambridge University Press, Cambridge, UK and New York, NY, USA, pp. 447-587. </w:t>
      </w:r>
      <w:hyperlink r:id="rId11">
        <w:r>
          <w:rPr>
            <w:u w:val="single"/>
          </w:rPr>
          <w:t>https://doi.org/10.1017/9781009157964.007</w:t>
        </w:r>
      </w:hyperlink>
      <w:r>
        <w:br/>
        <w:t xml:space="preserve">Alternative direct download: </w:t>
      </w:r>
      <w:hyperlink r:id="rId12">
        <w:r>
          <w:rPr>
            <w:u w:val="single"/>
          </w:rPr>
          <w:t>www.ipcc.ch/site/assets/uploads/sites/3/2022/03/07_SROCC_Ch05_FINAL.pdf</w:t>
        </w:r>
      </w:hyperlink>
    </w:p>
    <w:p>
      <w:r>
        <w:t xml:space="preserve">Bindoff, N.L., W.W.L. Cheung, J.G. Kairo, J. Arístegui, V.A. Guinder, R. Hallberg, N. Hilmi, N. Jiao, M.S. Karim, L. Levin, S. O’Donoghue, S.R. Purca Cuicapusa, B. Rinkevich, T. Suga, A. Tagliabue, and P. Williamson, 2019: Changing Ocean, Marine Ecosystems, and Dependent Communities. Supplementary Material. In: </w:t>
      </w:r>
      <w:r>
        <w:rPr>
          <w:i/>
        </w:rPr>
        <w:t>IPCC Special Report on the Ocean and Cryosphere in a Changing Climate</w:t>
      </w:r>
      <w:r>
        <w:t xml:space="preserve"> [H.-O. Pörtner, D.C. Roberts, V. Masson-Delmotte, P. Zhai, M. Tignor, E. Poloczanska, K. Mintenbeck, A. Alegría, M. Nicolai, A. Okem, J. Petzold, B. Rama, N.M. Weyer (eds.)], url: </w:t>
      </w:r>
      <w:hyperlink r:id="rId13">
        <w:r>
          <w:rPr>
            <w:u w:val="single"/>
          </w:rPr>
          <w:t>www.ipcc.ch/site/assets/uploads/sites/3/2022/03/SROCC_Ch05-SM_FINAL.pdf</w:t>
        </w:r>
      </w:hyperlink>
    </w:p>
    <w:p>
      <w:pPr>
        <w:pStyle w:val="Heading1"/>
      </w:pPr>
      <w:r>
        <w:t>Descargo de responsabilidad:</w:t>
      </w:r>
    </w:p>
    <w:p>
      <w:r>
        <w:t>El proyecto Embers Explorer no está afiliado al IPCC, no está aprobado ni autorizado por el IPCC y no es un producto del IPCC. Las figuras aquí presentadas no son figuras del IPCC, no han sido sometidas a procesos formales de revisión del IPCC y no han sido aprobadas por el IPCC. El IPCC no asume responsabilidad alguna por su exactitud.</w:t>
      </w:r>
    </w:p>
    <w:p>
      <w:r>
        <w:t>No obstante, se hace todo lo posible para garantizar que los datos resultantes de las evaluaciones del IPCC se representen aquí con exactitud, con la debida referencia a las fuentes.</w:t>
      </w:r>
    </w:p>
    <w:p>
      <w:r>
        <w:t>Un archivo de la base de datos en la que se basa esta aplicación está disponible en Zenodo (</w:t>
      </w:r>
      <w:hyperlink r:id="rId14">
        <w:r>
          <w:rPr>
            <w:u w:val="single"/>
          </w:rPr>
          <w:t>doi.org/10.5281/zenodo.12626977</w:t>
        </w:r>
      </w:hyperlink>
      <w:r>
        <w:t>) bajo licencia CC-BY 4.0. Hemos confirmado con el IPCC que estos datos pueden distribuirse de esta forma.</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68" TargetMode="External"/><Relationship Id="rId11" Type="http://schemas.openxmlformats.org/officeDocument/2006/relationships/hyperlink" Target="https://doi.org/10.1017/9781009157964.007" TargetMode="External"/><Relationship Id="rId12" Type="http://schemas.openxmlformats.org/officeDocument/2006/relationships/hyperlink" Target="https://www.ipcc.ch/site/assets/uploads/sites/3/2022/03/07_SROCC_Ch05_FINAL.pdf" TargetMode="External"/><Relationship Id="rId13" Type="http://schemas.openxmlformats.org/officeDocument/2006/relationships/hyperlink" Target="https://www.ipcc.ch/site/assets/uploads/sites/3/2022/03/SROCC_Ch05-SM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