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Pérdida de biodiversidad terrestre y de agua dulce</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r>
              <w:t>Resumen del riesgo evaluado:</w:t>
            </w:r>
          </w:p>
          <w:p>
            <w:r>
              <w:t>Pérdidas de especies animales y vegetales de diferentes ecosistemas a escala mundial, con el consiguiente declive de la integridad, el funcionamiento y la resiliencia de los ecosistemas [figura 2.11].</w:t>
            </w:r>
          </w:p>
          <w:p>
            <w:r>
              <w:t>Database id: 70 (</w:t>
            </w:r>
            <w:hyperlink r:id="rId10">
              <w:r>
                <w:rPr>
                  <w:u w:val="single"/>
                </w:rPr>
                <w:t>link</w:t>
              </w:r>
            </w:hyperlink>
            <w:r>
              <w:t>).</w:t>
            </w:r>
          </w:p>
          <w:p>
            <w:r>
              <w:t>Esta brasa se encuentra en la(s) siguiente(s) figura(s):</w:t>
              <w:br/>
            </w:r>
            <w:r>
              <w:t xml:space="preserve">Figure 2.11 of AR6-WGII-Chapter2;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Las observaciones revelaron que las primeras especies perdían &gt;50% de su área de distribución debido al cambio climático, lo que las situaba en la categoría de "en peligro" de la UICN. Se observaron numerosas extinciones de poblaciones locales en las especies más sensibles, y empieza a detectarse la extinción global de especies atribuible al cambio climático. [Tabla SM2.5, 2.4.2.2].</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En torno a 1,5 °C, se sabe que unos pocos taxones, por su biología básica y sus requisitos de hábitat, corren un alto riesgo de extinción (en peligro). En un número cada vez mayor de taxones, se prevé que más del 10% de las especies alcancen un alto riesgo de extinción (esto es 1000 veces la tasa natural de fondo de extinción). [Tabla 2.5]</w:t>
      </w:r>
    </w:p>
    <w:p>
      <w:pPr>
        <w:pStyle w:val="Heading1"/>
      </w:pPr>
      <w:r>
        <w:t>Transiciones: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En un número creciente de taxones, se prevé que más del 20% de las especies alcancen un alto riesgo de extinción. En el peor escenario posible (percentil 10 de los modelos), algunos de los taxones muestran &gt;50% de las especies en alto riesgo de extinción [Tabla 2.5, Tabla SM2.5, 2.5.1.3].</w:t>
      </w:r>
    </w:p>
    <w:p>
      <w:pPr>
        <w:pStyle w:val="Heading1"/>
      </w:pPr>
      <w:r>
        <w:t>Información complementaria</w:t>
      </w:r>
    </w:p>
    <w:p>
      <w:r>
        <w:t>No hemos incluido los valores medianos, proporcionados en SM2.5, porque éstos son siempre iguales a la media de mín y máx: no tiene ningún efecto sobre el diagrama. Las afirmaciones proporcionadas para explicar cada transición se atribuyen a la mediana (es decir, a la mitad de la transición).</w:t>
      </w:r>
    </w:p>
    <w:p>
      <w:pPr>
        <w:pStyle w:val="Heading1"/>
      </w:pPr>
      <w:r>
        <w:t>Referencia de los datos de origen:</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4">
        <w:r>
          <w:rPr>
            <w:u w:val="single"/>
          </w:rPr>
          <w:t>doi.org/10.5281/zenodo.12626977</w:t>
        </w:r>
      </w:hyperlink>
      <w:r>
        <w:t>) bajo licencia CC-BY 4.0. Hemos confirmado con el IPCC que estos datos pueden distribuirse de esta forma.</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