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Australia: arrecifes de coral - adaptación moderada</w:t>
      </w:r>
    </w:p>
    <w:p>
      <w:pPr>
        <w:pStyle w:val="Warning"/>
      </w:pPr>
      <w:r>
        <w:t>Traducción automática</w:t>
      </w:r>
    </w:p>
    <w:tbl>
      <w:tblPr>
        <w:tblW w:type="auto" w:w="0"/>
        <w:tblLook w:firstColumn="1" w:firstRow="1" w:lastColumn="0" w:lastRow="0" w:noHBand="0" w:noVBand="1" w:val="04A0"/>
      </w:tblPr>
      <w:tblGrid>
        <w:gridCol w:w="4320"/>
        <w:gridCol w:w="4320"/>
      </w:tblGrid>
      <w:tr>
        <w:tc>
          <w:tcPr>
            <w:tcW w:type="dxa" w:w="6803"/>
          </w:tcPr>
          <w:p>
            <w:r>
              <w:t>Resumen del riesgo evaluado:</w:t>
            </w:r>
          </w:p>
          <w:p>
            <w:r>
              <w:t>Pérdida y degradación de los arrecifes de coral y de los valores asociados de biodiversidad y servicios ecosistémicos en Australia, debido principalmente al calentamiento de los océanos y a las olas de calor marinas (adaptación moderada) [Tabla SM11.2b].</w:t>
            </w:r>
          </w:p>
          <w:p>
            <w:r>
              <w:t>Database id: 95 (</w:t>
            </w:r>
            <w:hyperlink r:id="rId10">
              <w:r>
                <w:rPr>
                  <w:u w:val="single"/>
                </w:rPr>
                <w:t>link</w:t>
              </w:r>
            </w:hyperlink>
            <w:r>
              <w:t>).</w:t>
            </w:r>
            <w:r>
              <w:t xml:space="preserve"> Scenario: Medium adaptation.</w:t>
            </w:r>
          </w:p>
          <w:p>
            <w:r>
              <w:t>Esta brasa se encuentra en la(s) siguiente(s) figura(s):</w:t>
              <w:br/>
            </w:r>
            <w:r>
              <w:t xml:space="preserve">Figure 11.6 of AR6-WGII-Chapter11; </w:t>
            </w:r>
            <w:r>
              <w:br/>
              <w:t>(por regla general, los resúmenes no figuran aquí)</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Transiciones: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0.2</w:t>
            </w:r>
          </w:p>
        </w:tc>
        <w:tc>
          <w:tcPr>
            <w:tcW w:type="dxa" w:w="2362"/>
            <w:vMerge w:val="restart"/>
            <w:vAlign w:val="center"/>
          </w:tcPr>
          <w:p>
            <w:r>
              <w:rPr>
                <w:i/>
              </w:rPr>
              <w:t>high confidence</w:t>
            </w:r>
          </w:p>
        </w:tc>
      </w:tr>
      <w:tr>
        <w:tc>
          <w:tcPr>
            <w:tcW w:type="dxa" w:w="787"/>
          </w:tcPr>
          <w:p>
            <w:r>
              <w:t>max</w:t>
            </w:r>
          </w:p>
        </w:tc>
        <w:tc>
          <w:tcPr>
            <w:tcW w:type="dxa" w:w="787"/>
          </w:tcPr>
          <w:p>
            <w:r>
              <w:t>0.4</w:t>
            </w:r>
          </w:p>
        </w:tc>
        <w:tc>
          <w:tcPr>
            <w:tcW w:type="dxa" w:w="2880"/>
            <w:vMerge/>
          </w:tcPr>
          <w:p/>
        </w:tc>
      </w:tr>
    </w:tbl>
    <w:p>
      <w:r>
        <w:t>(Aún no se dispone de información sobre esta transición)</w:t>
      </w:r>
    </w:p>
    <w:p>
      <w:pPr>
        <w:pStyle w:val="Heading1"/>
      </w:pPr>
      <w:r>
        <w:t>Transiciones: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0.4</w:t>
            </w:r>
          </w:p>
        </w:tc>
        <w:tc>
          <w:tcPr>
            <w:tcW w:type="dxa" w:w="2362"/>
            <w:vMerge w:val="restart"/>
            <w:vAlign w:val="center"/>
          </w:tcPr>
          <w:p>
            <w:r>
              <w:rPr>
                <w:i/>
              </w:rPr>
              <w:t>high confidence</w:t>
            </w:r>
          </w:p>
        </w:tc>
      </w:tr>
      <w:tr>
        <w:tc>
          <w:tcPr>
            <w:tcW w:type="dxa" w:w="787"/>
          </w:tcPr>
          <w:p>
            <w:r>
              <w:t>max</w:t>
            </w:r>
          </w:p>
        </w:tc>
        <w:tc>
          <w:tcPr>
            <w:tcW w:type="dxa" w:w="787"/>
          </w:tcPr>
          <w:p>
            <w:r>
              <w:t>0.6</w:t>
            </w:r>
          </w:p>
        </w:tc>
        <w:tc>
          <w:tcPr>
            <w:tcW w:type="dxa" w:w="2880"/>
            <w:vMerge/>
          </w:tcPr>
          <w:p/>
        </w:tc>
      </w:tr>
    </w:tbl>
    <w:p>
      <w:r>
        <w:t>(Aún no se dispone de información sobre esta transición)</w:t>
      </w:r>
    </w:p>
    <w:p>
      <w:pPr>
        <w:pStyle w:val="Heading1"/>
      </w:pPr>
      <w:r>
        <w:t>Transiciones: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1.1</w:t>
            </w:r>
          </w:p>
        </w:tc>
        <w:tc>
          <w:tcPr>
            <w:tcW w:type="dxa" w:w="2362"/>
            <w:vMerge w:val="restart"/>
            <w:vAlign w:val="center"/>
          </w:tcPr>
          <w:p>
            <w:r>
              <w:rPr>
                <w:i/>
              </w:rPr>
              <w:t>high confidence</w:t>
            </w:r>
          </w:p>
        </w:tc>
      </w:tr>
      <w:tr>
        <w:tc>
          <w:tcPr>
            <w:tcW w:type="dxa" w:w="787"/>
          </w:tcPr>
          <w:p>
            <w:r>
              <w:t>max</w:t>
            </w:r>
          </w:p>
        </w:tc>
        <w:tc>
          <w:tcPr>
            <w:tcW w:type="dxa" w:w="787"/>
          </w:tcPr>
          <w:p>
            <w:r>
              <w:t>1.3</w:t>
            </w:r>
          </w:p>
        </w:tc>
        <w:tc>
          <w:tcPr>
            <w:tcW w:type="dxa" w:w="2880"/>
            <w:vMerge/>
          </w:tcPr>
          <w:p/>
        </w:tc>
      </w:tr>
    </w:tbl>
    <w:p>
      <w:r>
        <w:t>(Aún no se dispone de información sobre esta transición)</w:t>
      </w:r>
    </w:p>
    <w:p>
      <w:pPr>
        <w:pStyle w:val="Heading1"/>
      </w:pPr>
      <w:r>
        <w:t>Referencia de los datos de origen:</w:t>
      </w:r>
    </w:p>
    <w:p>
      <w:r>
        <w:t xml:space="preserve">Lawrence, J., B. Mackey, F. Chiew, M.J. Costello, K. Hennessy, N. Lansbury, U.B. Nidumolu, G. Pecl, L. Rickards, N. Tapper, A. Woodward, and A. Wreford, 2022: Australasia.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1581-1688. </w:t>
      </w:r>
      <w:hyperlink r:id="rId11">
        <w:r>
          <w:rPr>
            <w:u w:val="single"/>
          </w:rPr>
          <w:t>https://doi.org/10.1017/9781009325844.013</w:t>
        </w:r>
      </w:hyperlink>
      <w:r>
        <w:br/>
        <w:t xml:space="preserve">Alternative direct download: </w:t>
      </w:r>
      <w:hyperlink r:id="rId12">
        <w:r>
          <w:rPr>
            <w:u w:val="single"/>
          </w:rPr>
          <w:t>www.ipcc.ch/report/ar6/wg2/downloads/report/IPCC_AR6_WGII_Chapter11.pdf</w:t>
        </w:r>
      </w:hyperlink>
    </w:p>
    <w:p>
      <w:r>
        <w:t xml:space="preserve">Lawrence, J., B. Mackey, F. Chiew, M.J. Costello, K. Hennessy, N. Lansbury, U.B. Nidumolu, G. Pecl, L. Rickards, N. Tapper, A. Woodward, and A. Wreford, 2022: Australasia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3">
        <w:r>
          <w:rPr>
            <w:u w:val="single"/>
          </w:rPr>
          <w:t>www.ipcc.ch/report/ar6/wg2/downloads/report/IPCC_AR6_WGII_Chapter11_SM.pdf</w:t>
        </w:r>
      </w:hyperlink>
    </w:p>
    <w:p>
      <w:pPr>
        <w:pStyle w:val="Heading1"/>
      </w:pPr>
      <w:r>
        <w:t>Descargo de responsabilidad:</w:t>
      </w:r>
    </w:p>
    <w:p>
      <w:r>
        <w:t>El proyecto Embers Explorer no está afiliado al IPCC, no está aprobado ni autorizado por el IPCC y no es un producto del IPCC. Las figuras aquí presentadas no son figuras del IPCC, no han sido sometidas a procesos formales de revisión del IPCC y no han sido aprobadas por el IPCC. El IPCC no asume responsabilidad alguna por su exactitud.</w:t>
      </w:r>
    </w:p>
    <w:p>
      <w:r>
        <w:t>No obstante, se hace todo lo posible para garantizar que los datos resultantes de las evaluaciones del IPCC se representen aquí con exactitud, con la debida referencia a las fuentes.</w:t>
      </w:r>
    </w:p>
    <w:p>
      <w:r>
        <w:t>Un archivo de la base de datos en la que se basa esta aplicación está disponible en Zenodo (</w:t>
      </w:r>
      <w:hyperlink r:id="rId14">
        <w:r>
          <w:rPr>
            <w:u w:val="single"/>
          </w:rPr>
          <w:t>doi.org/10.5281/zenodo.12626977</w:t>
        </w:r>
      </w:hyperlink>
      <w:r>
        <w:t>) bajo licencia CC-BY 4.0. Hemos confirmado con el IPCC que estos datos pueden distribuirse de esta forma.</w:t>
      </w:r>
    </w:p>
    <w:p>
      <w:r>
        <w:t>[This file was generated by the Embers Explorer 1.4.0 on 2025-08-02.]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95" TargetMode="External"/><Relationship Id="rId11" Type="http://schemas.openxmlformats.org/officeDocument/2006/relationships/hyperlink" Target="https://doi.org/10.1017/9781009325844.013" TargetMode="External"/><Relationship Id="rId12" Type="http://schemas.openxmlformats.org/officeDocument/2006/relationships/hyperlink" Target="https://www.ipcc.ch/report/ar6/wg2/downloads/report/IPCC_AR6_WGII_Chapter11.pdf" TargetMode="External"/><Relationship Id="rId13" Type="http://schemas.openxmlformats.org/officeDocument/2006/relationships/hyperlink" Target="https://www.ipcc.ch/report/ar6/wg2/downloads/report/IPCC_AR6_WGII_Chapter11_SM.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