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Europe : pertes de production agricole - forte adaptation</w:t>
      </w:r>
    </w:p>
    <w:p>
      <w:pPr>
        <w:pStyle w:val="Warning"/>
      </w:pPr>
      <w:r>
        <w:t>Traduction automatique</w:t>
      </w:r>
    </w:p>
    <w:tbl>
      <w:tblPr>
        <w:tblW w:type="auto" w:w="0"/>
        <w:tblLook w:firstColumn="1" w:firstRow="1" w:lastColumn="0" w:lastRow="0" w:noHBand="0" w:noVBand="1" w:val="04A0"/>
      </w:tblPr>
      <w:tblGrid>
        <w:gridCol w:w="4320"/>
        <w:gridCol w:w="4320"/>
      </w:tblGrid>
      <w:tr>
        <w:tc>
          <w:tcPr>
            <w:tcW w:type="dxa" w:w="6803"/>
          </w:tcPr>
          <w:p>
            <w:r>
              <w:t>Résumé du risque évalué :</w:t>
            </w:r>
          </w:p>
          <w:p>
            <w:r>
              <w:t>Risque de perte de productivité agricole, y compris de mauvaises récoltes et de diminution de la qualité des pâturages, principalement en raison de l'augmentation de la probabilité de conditions de chaleur et de sécheresse composées et de conditions météorologiques extrêmes. Ce scénario suppose des niveaux élevés de mise en œuvre de multiples options d'adaptation (voir la description de la transition). [13.10.2.2]</w:t>
            </w:r>
          </w:p>
          <w:p>
            <w:r>
              <w:t>Database id: 139 (</w:t>
            </w:r>
            <w:hyperlink r:id="rId10">
              <w:r>
                <w:rPr>
                  <w:u w:val="single"/>
                </w:rPr>
                <w:t>link</w:t>
              </w:r>
            </w:hyperlink>
            <w:r>
              <w:t>).</w:t>
            </w:r>
            <w:r>
              <w:t xml:space="preserve"> Scenario: High adaptation.</w:t>
            </w:r>
          </w:p>
          <w:p>
            <w:r>
              <w:t>Cette braise se retrouve dans la (les) figure(s) suivante(s) :</w:t>
              <w:br/>
            </w:r>
            <w:r>
              <w:t xml:space="preserve">Figure 13.30 (a) of AR6-WGII-Chapter13; </w:t>
            </w:r>
            <w:r>
              <w:br/>
              <w:t>(en règle générale, les résumés ne sont pas répertoriés ici)</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Transitions: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0.8</w:t>
            </w:r>
          </w:p>
        </w:tc>
        <w:tc>
          <w:tcPr>
            <w:tcW w:type="dxa" w:w="2362"/>
            <w:vMerge w:val="restart"/>
            <w:vAlign w:val="center"/>
          </w:tcPr>
          <w:p>
            <w:r>
              <w:rPr>
                <w:i/>
              </w:rPr>
              <w:t>medium confidence</w:t>
            </w:r>
          </w:p>
        </w:tc>
      </w:tr>
      <w:tr>
        <w:tc>
          <w:tcPr>
            <w:tcW w:type="dxa" w:w="787"/>
          </w:tcPr>
          <w:p>
            <w:r>
              <w:t>max</w:t>
            </w:r>
          </w:p>
        </w:tc>
        <w:tc>
          <w:tcPr>
            <w:tcW w:type="dxa" w:w="787"/>
          </w:tcPr>
          <w:p>
            <w:r>
              <w:t>1.1</w:t>
            </w:r>
          </w:p>
        </w:tc>
        <w:tc>
          <w:tcPr>
            <w:tcW w:type="dxa" w:w="2880"/>
            <w:vMerge/>
          </w:tcPr>
          <w:p/>
        </w:tc>
      </w:tr>
    </w:tbl>
    <w:p>
      <w:r>
        <w:t xml:space="preserve">Dans le cas d'une adaptation élevée, le recours à l'irrigation peut réduire considérablement les risques en réduisant à la fois la température du couvert végétal et les effets de la sécheresse. La disponibilité de l'eau et les utilisations concurrentes sont prises en compte dans l'encadré sur la pénurie d'eau (risque clé 3, encadrés </w:t>
      </w:r>
      <w:hyperlink r:id="rId11">
        <w:r>
          <w:rPr>
            <w:u w:val="single"/>
          </w:rPr>
          <w:t>141</w:t>
        </w:r>
      </w:hyperlink>
      <w:r>
        <w:t xml:space="preserve"> et </w:t>
      </w:r>
      <w:hyperlink r:id="rId12">
        <w:r>
          <w:rPr>
            <w:u w:val="single"/>
          </w:rPr>
          <w:t>143</w:t>
        </w:r>
      </w:hyperlink>
      <w:r>
        <w:t>). Lorsque la capacité d'irrigation est limitée par la disponibilité de l'eau, les autres options d'adaptation sont insuffisantes pour atténuer les pertes de récoltes dans certaines sous-régions, en particulier à 3°C NGF et plus, avec une augmentation du risque du nord au sud et un risque plus élevé pour les cultures de fin de saison telles que le maïs. [13.10.2.2 et Tableau SM13.28]</w:t>
      </w:r>
    </w:p>
    <w:p>
      <w:r>
        <w:t>La modification des cultivars, des dates de semis et de récolte peut réduire les pertes de rendement, mais elle est insuffisante pour réduire totalement les pertes prévues dans le cas d'un réchauffement de 3°C et plus, avec une augmentation du risque du nord au sud et pour les cultures poussant plus tard dans la saison, telles que le maïs. La sélection des cultures pour la tolérance à la sécheresse et à la chaleur peut améliorer la durabilité de la production agricole dans les conditions climatiques futures. Les systèmes mixtes et diversifiés, l'agroforesterie et l'agroécologie contribuent à l'adaptation, mais leurs délais de mise en œuvre sont longs en raison des contraintes socio-économiques et politiques des agriculteurs. [Figure 13.30 et tableau SM13.28]</w:t>
      </w:r>
    </w:p>
    <w:p>
      <w:pPr>
        <w:pStyle w:val="Heading1"/>
      </w:pPr>
      <w:r>
        <w:t>Informations complémentaires</w:t>
      </w:r>
    </w:p>
    <w:p>
      <w:r>
        <w:t>Les changements potentiels en matière d'adaptation sont résumés dans le document SM13.28, la figure 13.30 et la section 13.10.2.2.</w:t>
      </w:r>
    </w:p>
    <w:p>
      <w:pPr>
        <w:pStyle w:val="Heading1"/>
      </w:pPr>
      <w:r>
        <w:t>Référence spécifiques</w:t>
      </w:r>
    </w:p>
    <w:p>
      <w:r>
        <w:t>Table SM13.28</w:t>
      </w:r>
    </w:p>
    <w:p>
      <w:pPr>
        <w:pStyle w:val="Heading1"/>
      </w:pPr>
      <w:r>
        <w:t>Référence pour les données sources :</w:t>
      </w:r>
    </w:p>
    <w:p>
      <w:r>
        <w:t xml:space="preserve">Bednar-Friedl., B., R. Biesbroek, D.N. Schmidt, P. Alexander, K Yngve Børsheim, J. Carnicer, E.  Georgopoulou, M. Haasnoot, G Le Cozannet, P. Lionello, O. Lipka, C. Möllmann, V. Muccione, T. Mustonen, D Piepenburg, L Whitmarsh, 2022: Europe.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Cambridge University Press, Cambridge, UK and New York, NY, USA, pp. 1817-1927. </w:t>
      </w:r>
      <w:hyperlink r:id="rId13">
        <w:r>
          <w:rPr>
            <w:u w:val="single"/>
          </w:rPr>
          <w:t>https://doi.org/10.1017/9781009325844.015</w:t>
        </w:r>
      </w:hyperlink>
      <w:r>
        <w:br/>
        <w:t xml:space="preserve">Alternative direct download: </w:t>
      </w:r>
      <w:hyperlink r:id="rId14">
        <w:r>
          <w:rPr>
            <w:u w:val="single"/>
          </w:rPr>
          <w:t>www.ipcc.ch/report/ar6/wg2/downloads/report/IPCC_AR6_WGII_Chapter13.pdf</w:t>
        </w:r>
      </w:hyperlink>
    </w:p>
    <w:p>
      <w:r>
        <w:t xml:space="preserve">Bednar-Friedl., B., R. Biesbroek, D.N. Schmidt, P. Alexander, K Yngve Børsheim, J. Carnicer, E.  Georgopoulou, M. Haasnoot, G Le Cozannet, P. Lionello, O. Lipka, C. Möllmann, V. Muccione, T. Mustonen, D Piepenburg, L Whitmarsh, 2022: Europe Supplementary Material.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url: </w:t>
      </w:r>
      <w:hyperlink r:id="rId15">
        <w:r>
          <w:rPr>
            <w:u w:val="single"/>
          </w:rPr>
          <w:t>www.ipcc.ch/report/ar6/wg2/downloads/report/IPCC_AR6_WGII_Chapter13_SM.pdf</w:t>
        </w:r>
      </w:hyperlink>
    </w:p>
    <w:p>
      <w:pPr>
        <w:pStyle w:val="Heading1"/>
      </w:pPr>
      <w:r>
        <w:t>Avis de non-responsabilité :</w:t>
      </w:r>
    </w:p>
    <w:p>
      <w:r>
        <w:t>Le projet Embers Explorer n'est pas affilié au GIEC, n'est pas approuvé ou autorisé par le GIEC et n'est pas un produit du GIEC. Les figures présentées ici ne sont pas des figures du GIEC, n'ont pas été soumises aux processus formels d'examen du GIEC et n'ont pas été approuvées par le GIEC. Le GIEC n'assume aucune responsabilité quant à leur exactitude.</w:t>
      </w:r>
    </w:p>
    <w:p>
      <w:r>
        <w:t>Cependant, tous les efforts sont faits pour s'assurer que les données résultant des évaluations du GIEC sont représentées avec précision dans ce document, en faisant dûment référence aux sources.</w:t>
      </w:r>
    </w:p>
    <w:p>
      <w:r>
        <w:t>Une archive de la base de données sur laquelle cette application est basée est disponible sur Zenodo (</w:t>
      </w:r>
      <w:hyperlink r:id="rId16">
        <w:r>
          <w:rPr>
            <w:u w:val="single"/>
          </w:rPr>
          <w:t>doi.org/10.5281/zenodo.12626977</w:t>
        </w:r>
      </w:hyperlink>
      <w:r>
        <w:t>) sous la licence CC-BY 4.0. Nous avons confirmé avec le GIEC que ces données peuvent être distribuées de cette manière.</w:t>
      </w:r>
    </w:p>
    <w:p>
      <w:r>
        <w:t>[This file was generated by the Embers Explorer 1.4.0 on 2025-08-05.]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139" TargetMode="External"/><Relationship Id="rId11" Type="http://schemas.openxmlformats.org/officeDocument/2006/relationships/hyperlink" Target="https://climrisk.org/cree/ember/141" TargetMode="External"/><Relationship Id="rId12" Type="http://schemas.openxmlformats.org/officeDocument/2006/relationships/hyperlink" Target="https://climrisk.org/cree/ember/143" TargetMode="External"/><Relationship Id="rId13" Type="http://schemas.openxmlformats.org/officeDocument/2006/relationships/hyperlink" Target="https://doi.org/10.1017/9781009325844.015" TargetMode="External"/><Relationship Id="rId14" Type="http://schemas.openxmlformats.org/officeDocument/2006/relationships/hyperlink" Target="https://www.ipcc.ch/report/ar6/wg2/downloads/report/IPCC_AR6_WGII_Chapter13.pdf" TargetMode="External"/><Relationship Id="rId15" Type="http://schemas.openxmlformats.org/officeDocument/2006/relationships/hyperlink" Target="https://www.ipcc.ch/report/ar6/wg2/downloads/report/IPCC_AR6_WGII_Chapter13_SM.pdf" TargetMode="External"/><Relationship Id="rId16"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