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Europe du Sud : population menacée de pénurie d'eau - forte adaptation</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Risque de pénurie d'eau dans le sud de l'Europe avec une forte adaptation, y compris des impacts en cascade au-delà du secteur de l'eau (tels que l'agriculture, l'énergie et la navigation). [13.10.2.3]</w:t>
            </w:r>
          </w:p>
          <w:p>
            <w:r>
              <w:t>Database id: 141 (</w:t>
            </w:r>
            <w:hyperlink r:id="rId10">
              <w:r>
                <w:rPr>
                  <w:u w:val="single"/>
                </w:rPr>
                <w:t>link</w:t>
              </w:r>
            </w:hyperlink>
            <w:r>
              <w:t>).</w:t>
            </w:r>
            <w:r>
              <w:t xml:space="preserve"> Scenario: High adaptation.</w:t>
            </w:r>
          </w:p>
          <w:p>
            <w:r>
              <w:t>Cette braise se retrouve dans la (les) figure(s) suivante(s) :</w:t>
              <w:br/>
            </w:r>
            <w:r>
              <w:t xml:space="preserve">Figure 13.31 (a) of AR6-WGII-Chapter13;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Au moment de la rédaction de ce rapport (autour de 1°C de NGF), il existait déjà un déficit d'adaptation qui pouvait potentiellement être comblé. Les améliorations de l'utilisation rationnelle de l'eau et les changements de comportement peuvent être efficaces dans certains scénarios du PAS [Tableau SM13.29].</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2.2</w:t>
            </w:r>
          </w:p>
        </w:tc>
        <w:tc>
          <w:tcPr>
            <w:tcW w:type="dxa" w:w="2880"/>
            <w:vMerge/>
          </w:tcPr>
          <w:p/>
        </w:tc>
      </w:tr>
    </w:tbl>
    <w:p>
      <w:r>
        <w:t>Il est nécessaire d'investir dans de grandes infrastructures hydrauliques et des technologies de pointe (y compris le stockage), le transfert d'eau, le recyclage et la réutilisation de l'eau, et le dessalement. En ajoutant ces mesures d'adaptation à celles liées à la demande d'eau, la transition est décalée vers le haut de 0,5 °C GWL par rapport à une faible adaptation [tableau SM13.29, figure 13.31].</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2.8</w:t>
            </w:r>
          </w:p>
        </w:tc>
        <w:tc>
          <w:tcPr>
            <w:tcW w:type="dxa" w:w="2362"/>
            <w:vMerge w:val="restart"/>
            <w:vAlign w:val="center"/>
          </w:tcPr>
          <w:p>
            <w:r>
              <w:rPr>
                <w:i/>
              </w:rPr>
              <w:t>low confidence</w:t>
            </w:r>
          </w:p>
        </w:tc>
      </w:tr>
      <w:tr>
        <w:tc>
          <w:tcPr>
            <w:tcW w:type="dxa" w:w="787"/>
          </w:tcPr>
          <w:p>
            <w:r>
              <w:t>max</w:t>
            </w:r>
          </w:p>
        </w:tc>
        <w:tc>
          <w:tcPr>
            <w:tcW w:type="dxa" w:w="787"/>
          </w:tcPr>
          <w:p>
            <w:r>
              <w:t>3.8</w:t>
            </w:r>
          </w:p>
        </w:tc>
        <w:tc>
          <w:tcPr>
            <w:tcW w:type="dxa" w:w="2880"/>
            <w:vMerge/>
          </w:tcPr>
          <w:p/>
        </w:tc>
      </w:tr>
    </w:tbl>
    <w:p>
      <w:r>
        <w:t>Une adaptation transformationnelle est nécessaire ; à terme, une délocalisation planifiée de l'industrie et le développement d'autres moyens de subsistance pourraient être nécessaires. Il existe des compromis avec d'autres options d'adaptation qui nécessitent de l'eau (en particulier l'irrigation). Une forte adaptation déplace la transition vers un risque très élevé d'environ 0,2 à 0,3°C.  [Tableau SM13.29, figure 13.30]</w:t>
      </w:r>
    </w:p>
    <w:p>
      <w:r>
        <w:t>L'adaptation devient de plus en plus difficile à partir d'un PRG de 3°C, en raison des limites géophysiques et technologiques ; les limites dures sont probablement atteintes en premier lieu dans certaines parties de l'Europe du Sud. [ES].</w:t>
      </w:r>
    </w:p>
    <w:p>
      <w:pPr>
        <w:pStyle w:val="Heading1"/>
      </w:pPr>
      <w:r>
        <w:t>Informations complémentaires</w:t>
      </w:r>
    </w:p>
    <w:p>
      <w:r>
        <w:t xml:space="preserve">La description des transitions fournie dans le rapport est limitée ; une partie du texte fourni ici reflète notre compréhension, au-delà de la formulation dans le rapport. Selon le document de référence, c'est principalement le SSP1 qui est considéré comme devant faire l'objet d'une adaptation élevée dans la déclaration sur l'utilisation rationnelle de l'eau et le changement de comportement [Papadimitriou, et al. 2019, </w:t>
      </w:r>
      <w:hyperlink r:id="rId11">
        <w:r>
          <w:rPr>
            <w:u w:val="single"/>
          </w:rPr>
          <w:t>https://doi.org/10.1016/j.scitotenv.2019.134027</w:t>
        </w:r>
      </w:hyperlink>
      <w:r>
        <w:t>].</w:t>
      </w:r>
    </w:p>
    <w:p>
      <w:pPr>
        <w:pStyle w:val="Heading1"/>
      </w:pPr>
      <w:r>
        <w:t>Référence pour les données sources :</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5">
        <w:r>
          <w:rPr>
            <w:u w:val="single"/>
          </w:rPr>
          <w:t>doi.org/10.5281/zenodo.12626977</w:t>
        </w:r>
      </w:hyperlink>
      <w:r>
        <w:t>) sous la licence CC-BY 4.0. Nous avons confirmé avec le GIEC que ces données peuvent être distribuées de cette manière.</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1" TargetMode="External"/><Relationship Id="rId11" Type="http://schemas.openxmlformats.org/officeDocument/2006/relationships/hyperlink" Target="https://doi.org/10.1016/j.scitotenv.2019.134027"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