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Europe occidentale et centrale : personnes exposées au risque de pénurie d'eau - adaptation élevée</w:t>
      </w:r>
    </w:p>
    <w:p>
      <w:pPr>
        <w:pStyle w:val="Warning"/>
      </w:pPr>
      <w:r>
        <w:t>Traduction automatique</w:t>
      </w:r>
    </w:p>
    <w:tbl>
      <w:tblPr>
        <w:tblW w:type="auto" w:w="0"/>
        <w:tblLook w:firstColumn="1" w:firstRow="1" w:lastColumn="0" w:lastRow="0" w:noHBand="0" w:noVBand="1" w:val="04A0"/>
      </w:tblPr>
      <w:tblGrid>
        <w:gridCol w:w="4320"/>
        <w:gridCol w:w="4320"/>
      </w:tblGrid>
      <w:tr>
        <w:tc>
          <w:tcPr>
            <w:tcW w:type="dxa" w:w="6803"/>
          </w:tcPr>
          <w:p>
            <w:r>
              <w:t>Résumé du risque évalué :</w:t>
            </w:r>
          </w:p>
          <w:p>
            <w:r>
              <w:t>Risque de pénurie d'eau en Europe occidentale et centrale avec une forte adaptation, y compris des impacts en cascade au-delà du secteur de l'eau (tels que l'agriculture, l'énergie et la navigation). [13.10.2.3]</w:t>
            </w:r>
          </w:p>
          <w:p>
            <w:r>
              <w:t>Database id: 143 (</w:t>
            </w:r>
            <w:hyperlink r:id="rId10">
              <w:r>
                <w:rPr>
                  <w:u w:val="single"/>
                </w:rPr>
                <w:t>link</w:t>
              </w:r>
            </w:hyperlink>
            <w:r>
              <w:t>).</w:t>
            </w:r>
            <w:r>
              <w:t xml:space="preserve"> Scenario: High adaptation.</w:t>
            </w:r>
          </w:p>
          <w:p>
            <w:r>
              <w:t>Cette braise se retrouve dans la (les) figure(s) suivante(s) :</w:t>
              <w:br/>
            </w:r>
            <w:r>
              <w:t xml:space="preserve">Figure 13.31 (a) of AR6-WGII-Chapter13; </w:t>
            </w:r>
            <w:r>
              <w:br/>
              <w:t>(en règle générale, les résumés ne sont pas répertoriés ici)</w:t>
            </w:r>
          </w:p>
          <w:p>
            <w:pPr>
              <w:pStyle w:val="Notes"/>
            </w:pPr>
            <w:r>
              <w:t>The ember diagram included in this document is based on the assessment provided in the IPCC report and supplementary material listed below, but it does not come from the IPCC; all additional information is provided in view of helping to understand this diagram and is also based on, or reproduced from, the same IPCC sources. Please read the disclaimer notice at the end of this document.</w:t>
            </w:r>
          </w:p>
        </w:tc>
        <w:tc>
          <w:tcPr>
            <w:tcW w:type="dxa" w:w="1701"/>
          </w:tcPr>
          <w:p>
            <w:r>
              <w:drawing>
                <wp:inline xmlns:a="http://schemas.openxmlformats.org/drawingml/2006/main" xmlns:pic="http://schemas.openxmlformats.org/drawingml/2006/picture">
                  <wp:extent cx="1425743" cy="288000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1425743" cy="2880000"/>
                          </a:xfrm>
                          <a:prstGeom prst="rect"/>
                        </pic:spPr>
                      </pic:pic>
                    </a:graphicData>
                  </a:graphic>
                </wp:inline>
              </w:drawing>
            </w:r>
          </w:p>
        </w:tc>
      </w:tr>
    </w:tbl>
    <w:p>
      <w:pPr>
        <w:pStyle w:val="Heading1"/>
      </w:pPr>
      <w:r>
        <w:t>Transitions: undetectable to moderate</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1.5</w:t>
            </w:r>
          </w:p>
        </w:tc>
        <w:tc>
          <w:tcPr>
            <w:tcW w:type="dxa" w:w="2362"/>
            <w:vMerge w:val="restart"/>
            <w:vAlign w:val="center"/>
          </w:tcPr>
          <w:p>
            <w:r>
              <w:rPr>
                <w:i/>
              </w:rPr>
              <w:t>medium confidence</w:t>
            </w:r>
          </w:p>
        </w:tc>
      </w:tr>
      <w:tr>
        <w:tc>
          <w:tcPr>
            <w:tcW w:type="dxa" w:w="787"/>
          </w:tcPr>
          <w:p>
            <w:r>
              <w:t>max</w:t>
            </w:r>
          </w:p>
        </w:tc>
        <w:tc>
          <w:tcPr>
            <w:tcW w:type="dxa" w:w="787"/>
          </w:tcPr>
          <w:p>
            <w:r>
              <w:t>2.5</w:t>
            </w:r>
          </w:p>
        </w:tc>
        <w:tc>
          <w:tcPr>
            <w:tcW w:type="dxa" w:w="2880"/>
            <w:vMerge/>
          </w:tcPr>
          <w:p/>
        </w:tc>
      </w:tr>
    </w:tbl>
    <w:p>
      <w:r>
        <w:t>Il existe actuellement un déficit d'adaptation qui peut être comblé. Il existe un fort potentiel d'amélioration de l'efficacité de l'utilisation de l'eau et d'économies d'eau. Les réglementations, la tarification et la taxation peuvent contribuer à réduire la demande en eau. [Tableau SM13.29, Figure 13.31(b), 13.2.2.2].</w:t>
      </w:r>
    </w:p>
    <w:p>
      <w:pPr>
        <w:pStyle w:val="Heading1"/>
      </w:pPr>
      <w:r>
        <w:t>Transitions: moderate to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3.0</w:t>
            </w:r>
          </w:p>
        </w:tc>
        <w:tc>
          <w:tcPr>
            <w:tcW w:type="dxa" w:w="2362"/>
            <w:vMerge w:val="restart"/>
            <w:vAlign w:val="center"/>
          </w:tcPr>
          <w:p>
            <w:r>
              <w:rPr>
                <w:i/>
              </w:rPr>
              <w:t>medium confidence</w:t>
            </w:r>
          </w:p>
        </w:tc>
      </w:tr>
      <w:tr>
        <w:tc>
          <w:tcPr>
            <w:tcW w:type="dxa" w:w="787"/>
          </w:tcPr>
          <w:p>
            <w:r>
              <w:t>max</w:t>
            </w:r>
          </w:p>
        </w:tc>
        <w:tc>
          <w:tcPr>
            <w:tcW w:type="dxa" w:w="787"/>
          </w:tcPr>
          <w:p>
            <w:r>
              <w:t>4.0</w:t>
            </w:r>
          </w:p>
        </w:tc>
        <w:tc>
          <w:tcPr>
            <w:tcW w:type="dxa" w:w="2880"/>
            <w:vMerge/>
          </w:tcPr>
          <w:p/>
        </w:tc>
      </w:tr>
    </w:tbl>
    <w:p>
      <w:r>
        <w:t>Il existe un potentiel considérable d'investissement dans les grandes infrastructures hydrauliques et les technologies de pointe (y compris le stockage), le transfert d'eau (avec des impacts potentiels sur la distribution), le recyclage et la réutilisation de l'eau (nécessitant du temps pour le développement des infrastructures), et le dessalement (bien qu'avec des effets négatifs sur l'environnement et la demande d'énergie). [13.10.2.3, tableau SM13.29 , et figure 13.31(b)]</w:t>
      </w:r>
    </w:p>
    <w:p>
      <w:r>
        <w:t>En cas de réchauffement climatique élevé, un large portefeuille de mesures est nécessaire pour réduire suffisamment le risque de pénurie d'eau [figure 13.31(b)].</w:t>
      </w:r>
    </w:p>
    <w:p>
      <w:pPr>
        <w:pStyle w:val="Heading1"/>
      </w:pPr>
      <w:r>
        <w:t>Informations complémentaires</w:t>
      </w:r>
    </w:p>
    <w:p>
      <w:r>
        <w:t>En Europe de l'Est, l'incertitude concernant les changements dans la pénurie d'eau pose des défis distincts en matière d'adaptation. [13.2.1.2.2]</w:t>
      </w:r>
    </w:p>
    <w:p>
      <w:r>
        <w:t>Note : Le fait que les risques soient plus faibles en Europe occidentale et centrale (EOC) qu'en Europe méridionale contribue probablement à la quantité réduite d'informations spécifiquement liées à l'EOC, y compris sur l'efficacité des options d'adaptation à différents niveaux de réchauffement. Une partie du texte fourni ici, et la façon dont il est placé par rapport aux transitions de risque, reflète notre compréhension du rapport, au-delà de la formulation originale exacte. En raison du peu d'informations spécifiques aux régions et aux niveaux de réchauffement, les explications fournies ici pour les transitions peuvent encore être incomplètes. Les niveaux de confiance reflètent la figure 13.31 ainsi que l'errata disponible sur [ipcc.ch] (https://www.ipcc.ch/report/ar6/wg2/downloads/report/IPCC_AR6_WGII_Errata.pdf) concernant le tableau SM13.29.</w:t>
      </w:r>
    </w:p>
    <w:p>
      <w:r>
        <w:t>Ces informations ont été complétées sur la base de l'AR6 par Philippe Marbaix en avril 2025. Les commentaires sont les bienvenus.</w:t>
      </w:r>
    </w:p>
    <w:p>
      <w:pPr>
        <w:pStyle w:val="Heading1"/>
      </w:pPr>
      <w:r>
        <w:t>Référence spécifiques</w:t>
      </w:r>
    </w:p>
    <w:p>
      <w:r>
        <w:t>Table SM13.29</w:t>
      </w:r>
    </w:p>
    <w:p>
      <w:pPr>
        <w:pStyle w:val="Heading1"/>
      </w:pPr>
      <w:r>
        <w:t>Référence pour les données sources :</w:t>
      </w:r>
    </w:p>
    <w:p>
      <w:r>
        <w:t xml:space="preserve">Bednar-Friedl., B., R. Biesbroek, D.N. Schmidt, P. Alexander, K Yngve Børsheim, J. Carnicer, E.  Georgopoulou, M. Haasnoot, G Le Cozannet, P. Lionello, O. Lipka, C. Möllmann, V. Muccione, T. Mustonen, D Piepenburg, L Whitmarsh, 2022: Europe. In: </w:t>
      </w:r>
      <w:r>
        <w:rPr>
          <w:i/>
        </w:rPr>
        <w:t>Climate Change 2022: Impacts, Adaptation, and Vulnerability. Contribution of Working Group II to the Sixth Assessment Report of the Intergovernmental Panel on Climate Change.</w:t>
      </w:r>
      <w:r>
        <w:t xml:space="preserve"> [Pörtner, H.-O.,  D.C. Roberts, M. Tignor, E.S. Poloczanska, K. Mintenbeck, A. Alegría, M. Craig, S. Langsdorf, S. Löschke, V. Möller, A. Okem, B. Rama (eds.)]. Cambridge University Press, Cambridge, UK and New York, NY, USA, pp. 1817-1927. </w:t>
      </w:r>
      <w:hyperlink r:id="rId11">
        <w:r>
          <w:rPr>
            <w:u w:val="single"/>
          </w:rPr>
          <w:t>https://doi.org/10.1017/9781009325844.015</w:t>
        </w:r>
      </w:hyperlink>
      <w:r>
        <w:br/>
        <w:t xml:space="preserve">Alternative direct download: </w:t>
      </w:r>
      <w:hyperlink r:id="rId12">
        <w:r>
          <w:rPr>
            <w:u w:val="single"/>
          </w:rPr>
          <w:t>www.ipcc.ch/report/ar6/wg2/downloads/report/IPCC_AR6_WGII_Chapter13.pdf</w:t>
        </w:r>
      </w:hyperlink>
    </w:p>
    <w:p>
      <w:r>
        <w:t xml:space="preserve">Bednar-Friedl., B., R. Biesbroek, D.N. Schmidt, P. Alexander, K Yngve Børsheim, J. Carnicer, E.  Georgopoulou, M. Haasnoot, G Le Cozannet, P. Lionello, O. Lipka, C. Möllmann, V. Muccione, T. Mustonen, D Piepenburg, L Whitmarsh, 2022: Europe Supplementary Material. In: </w:t>
      </w:r>
      <w:r>
        <w:rPr>
          <w:i/>
        </w:rPr>
        <w:t>Climate Change 2022: Impacts, Adaptation, and Vulnerability. Contribution of Working Group II to the Sixth Assessment Report of the Intergovernmental Panel on Climate Change.</w:t>
      </w:r>
      <w:r>
        <w:t xml:space="preserve"> [Pörtner, H.-O.,  D.C. Roberts, M. Tignor, E.S. Poloczanska, K. Mintenbeck, A. Alegría, M. Craig, S. Langsdorf, S. Löschke, V. Möller, A. Okem, B. Rama (eds.)], url: </w:t>
      </w:r>
      <w:hyperlink r:id="rId13">
        <w:r>
          <w:rPr>
            <w:u w:val="single"/>
          </w:rPr>
          <w:t>www.ipcc.ch/report/ar6/wg2/downloads/report/IPCC_AR6_WGII_Chapter13_SM.pdf</w:t>
        </w:r>
      </w:hyperlink>
    </w:p>
    <w:p>
      <w:pPr>
        <w:pStyle w:val="Heading1"/>
      </w:pPr>
      <w:r>
        <w:t>Avis de non-responsabilité :</w:t>
      </w:r>
    </w:p>
    <w:p>
      <w:r>
        <w:t>Le projet Embers Explorer n'est pas affilié au GIEC, n'est pas approuvé ou autorisé par le GIEC et n'est pas un produit du GIEC. Les figures présentées ici ne sont pas des figures du GIEC, n'ont pas été soumises aux processus formels d'examen du GIEC et n'ont pas été approuvées par le GIEC. Le GIEC n'assume aucune responsabilité quant à leur exactitude.</w:t>
      </w:r>
    </w:p>
    <w:p>
      <w:r>
        <w:t>Cependant, tous les efforts sont faits pour s'assurer que les données résultant des évaluations du GIEC sont représentées avec précision dans ce document, en faisant dûment référence aux sources.</w:t>
      </w:r>
    </w:p>
    <w:p>
      <w:r>
        <w:t>Une archive de la base de données sur laquelle cette application est basée est disponible sur Zenodo (</w:t>
      </w:r>
      <w:hyperlink r:id="rId14">
        <w:r>
          <w:rPr>
            <w:u w:val="single"/>
          </w:rPr>
          <w:t>doi.org/10.5281/zenodo.12626977</w:t>
        </w:r>
      </w:hyperlink>
      <w:r>
        <w:t>) sous la licence CC-BY 4.0. Nous avons confirmé avec le GIEC que ces données peuvent être distribuées de cette manière.</w:t>
      </w:r>
    </w:p>
    <w:p>
      <w:r>
        <w:t>[This file was generated by the Embers Explorer 1.4.0 on 2025-08-06.]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100"/>
    </w:pPr>
    <w:rPr>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200" w:after="100"/>
      <w:outlineLvl w:val="0"/>
    </w:pPr>
    <w:rPr>
      <w:rFonts w:asciiTheme="majorHAnsi" w:eastAsiaTheme="majorEastAsia" w:hAnsiTheme="majorHAnsi" w:cstheme="majorBidi"/>
      <w:b/>
      <w:bCs/>
      <w:color w:val="365F91" w:themeColor="accent1" w:themeShade="BF"/>
      <w:sz w:val="2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6"/>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tes">
    <w:name w:val="Notes"/>
    <w:rPr>
      <w:color w:val="505050"/>
      <w:sz w:val="18"/>
    </w:rPr>
  </w:style>
  <w:style w:type="paragraph" w:customStyle="1" w:styleId="Warning">
    <w:name w:val="Warning"/>
    <w:rPr>
      <w:color w:val="C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climrisk.org/cree/ember/143" TargetMode="External"/><Relationship Id="rId11" Type="http://schemas.openxmlformats.org/officeDocument/2006/relationships/hyperlink" Target="https://doi.org/10.1017/9781009325844.015" TargetMode="External"/><Relationship Id="rId12" Type="http://schemas.openxmlformats.org/officeDocument/2006/relationships/hyperlink" Target="https://www.ipcc.ch/report/ar6/wg2/downloads/report/IPCC_AR6_WGII_Chapter13.pdf" TargetMode="External"/><Relationship Id="rId13" Type="http://schemas.openxmlformats.org/officeDocument/2006/relationships/hyperlink" Target="https://www.ipcc.ch/report/ar6/wg2/downloads/report/IPCC_AR6_WGII_Chapter13_SM.pdf" TargetMode="External"/><Relationship Id="rId14" Type="http://schemas.openxmlformats.org/officeDocument/2006/relationships/hyperlink" Target="https://doi.org/10.5281/zenodo.12626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