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Arctique : océan, glace de mer, pergélisol - systèmes humains et naturels</w:t>
      </w:r>
    </w:p>
    <w:p>
      <w:pPr>
        <w:pStyle w:val="Warning"/>
      </w:pPr>
      <w:r>
        <w:t>Traduction automatique</w:t>
      </w:r>
    </w:p>
    <w:tbl>
      <w:tblPr>
        <w:tblW w:type="auto" w:w="0"/>
        <w:tblLook w:firstColumn="1" w:firstRow="1" w:lastColumn="0" w:lastRow="0" w:noHBand="0" w:noVBand="1" w:val="04A0"/>
      </w:tblPr>
      <w:tblGrid>
        <w:gridCol w:w="4320"/>
        <w:gridCol w:w="4320"/>
      </w:tblGrid>
      <w:tr>
        <w:tc>
          <w:tcPr>
            <w:tcW w:type="dxa" w:w="6803"/>
          </w:tcPr>
          <w:p>
            <w:r>
              <w:t>Résumé du risque évalué :</w:t>
            </w:r>
          </w:p>
          <w:p>
            <w:r>
              <w:t>Les systèmes naturels et humains de l'Arctique, y compris la toundra de haute latitude, les forêts boréales, le pergélisol et la glace de mer.&amp;nbsp ; [3.4.13, 3.SM.3.3.6]</w:t>
            </w:r>
          </w:p>
          <w:p>
            <w:r>
              <w:t>Database id: 27 (</w:t>
            </w:r>
            <w:hyperlink r:id="rId10">
              <w:r>
                <w:rPr>
                  <w:u w:val="single"/>
                </w:rPr>
                <w:t>link</w:t>
              </w:r>
            </w:hyperlink>
            <w:r>
              <w:t>).</w:t>
            </w:r>
          </w:p>
          <w:p>
            <w:r>
              <w:t>Cette braise se retrouve dans la (les) figure(s) suivante(s) :</w:t>
              <w:br/>
            </w:r>
            <w:r>
              <w:t xml:space="preserve">Figure 3.20 of SR1.5-Chapter3; </w:t>
            </w:r>
            <w:r>
              <w:br/>
              <w:t>(en règle générale, les résumés ne sont pas répertoriés ici)</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0.0</w:t>
            </w:r>
          </w:p>
        </w:tc>
        <w:tc>
          <w:tcPr>
            <w:tcW w:type="dxa" w:w="2362"/>
            <w:vMerge w:val="restart"/>
            <w:vAlign w:val="center"/>
          </w:tcPr>
          <w:p>
            <w:r>
              <w:rPr>
                <w:i/>
              </w:rPr>
              <w:t>high confidence</w:t>
            </w:r>
          </w:p>
        </w:tc>
      </w:tr>
      <w:tr>
        <w:tc>
          <w:tcPr>
            <w:tcW w:type="dxa" w:w="787"/>
          </w:tcPr>
          <w:p>
            <w:r>
              <w:t>max</w:t>
            </w:r>
          </w:p>
        </w:tc>
        <w:tc>
          <w:tcPr>
            <w:tcW w:type="dxa" w:w="787"/>
          </w:tcPr>
          <w:p>
            <w:r>
              <w:t>0.7</w:t>
            </w:r>
          </w:p>
        </w:tc>
        <w:tc>
          <w:tcPr>
            <w:tcW w:type="dxa" w:w="2880"/>
            <w:vMerge/>
          </w:tcPr>
          <w:p/>
        </w:tc>
      </w:tr>
    </w:tbl>
    <w:p>
      <w:r>
        <w:t>L'augmentation du taux de fonte de la glace de mer en été a été détectée et attribuée aux changements climatiques dès l'an 2000 (correspondant à un réchauffement de 0,7°C). La toundra des hautes latitudes et la forêt boréale sont particulièrement menacées, et les arbustes ligneux empiètent déjà sur la toundra [3.4.13, 3.sm.3.3.6]. [3.4.13, 3.SM.3.3.6].</w:t>
      </w:r>
    </w:p>
    <w:p>
      <w:pPr>
        <w:pStyle w:val="Heading1"/>
      </w:pPr>
      <w:r>
        <w:t>Transitions: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0.7</w:t>
            </w:r>
          </w:p>
        </w:tc>
        <w:tc>
          <w:tcPr>
            <w:tcW w:type="dxa" w:w="2362"/>
            <w:vMerge w:val="restart"/>
            <w:vAlign w:val="center"/>
          </w:tcPr>
          <w:p>
            <w:r>
              <w:rPr>
                <w:i/>
              </w:rPr>
              <w:t>high confidence</w:t>
            </w:r>
          </w:p>
        </w:tc>
      </w:tr>
      <w:tr>
        <w:tc>
          <w:tcPr>
            <w:tcW w:type="dxa" w:w="787"/>
          </w:tcPr>
          <w:p>
            <w:r>
              <w:t>max</w:t>
            </w:r>
          </w:p>
        </w:tc>
        <w:tc>
          <w:tcPr>
            <w:tcW w:type="dxa" w:w="787"/>
          </w:tcPr>
          <w:p>
            <w:r>
              <w:t>1.5</w:t>
            </w:r>
          </w:p>
        </w:tc>
        <w:tc>
          <w:tcPr>
            <w:tcW w:type="dxa" w:w="2880"/>
            <w:vMerge/>
          </w:tcPr>
          <w:p/>
        </w:tc>
      </w:tr>
    </w:tbl>
    <w:p>
      <w:r>
        <w:t>En conséquence de l'amplification polaire, des changements de biomes (principaux types d'écosystèmes) sont probables dans l'Arctique, avec une augmentation de la fréquence des incendies, une dégradation du pergélisol et de la couverture arborée susceptibles de se produire à 1,5°C de réchauffement [3.5.4.2].&amp;nbsp ; A 1,5°C de réchauffement, un océan Arctique libre de glace est considéré comme improbable [3.4.13]</w:t>
      </w:r>
    </w:p>
    <w:p>
      <w:pPr>
        <w:pStyle w:val="Heading1"/>
      </w:pPr>
      <w:r>
        <w:t>Transitions: high to very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1.5</w:t>
            </w:r>
          </w:p>
        </w:tc>
        <w:tc>
          <w:tcPr>
            <w:tcW w:type="dxa" w:w="2362"/>
            <w:vMerge w:val="restart"/>
            <w:vAlign w:val="center"/>
          </w:tcPr>
          <w:p>
            <w:r>
              <w:rPr>
                <w:i/>
              </w:rPr>
              <w:t>high confidence</w:t>
            </w:r>
          </w:p>
        </w:tc>
      </w:tr>
      <w:tr>
        <w:tc>
          <w:tcPr>
            <w:tcW w:type="dxa" w:w="787"/>
          </w:tcPr>
          <w:p>
            <w:r>
              <w:t>max</w:t>
            </w:r>
          </w:p>
        </w:tc>
        <w:tc>
          <w:tcPr>
            <w:tcW w:type="dxa" w:w="787"/>
          </w:tcPr>
          <w:p>
            <w:r>
              <w:t>2.0</w:t>
            </w:r>
          </w:p>
        </w:tc>
        <w:tc>
          <w:tcPr>
            <w:tcW w:type="dxa" w:w="2880"/>
            <w:vMerge/>
          </w:tcPr>
          <w:p/>
        </w:tc>
      </w:tr>
    </w:tbl>
    <w:p>
      <w:r>
        <w:t>D'ici 2°C de réchauffement, il est probable que l'océan Arctique soit libre de glace et que cet écosystème unique soit incapable de s'adapter [3.4.13]. On s'attend à une nouvelle amplification des changements susmentionnés en cas de réchauffement global de 2°C [3.5.4.2]. Limiter le réchauffement à 1,5°C permettrait d'éviter la perte d'une superficie de pergélisol estimée à 2 millions de km² au cours des siècles à venir, par rapport à un réchauffement de 2°C [3.SM.3.3.6].</w:t>
      </w:r>
    </w:p>
    <w:p>
      <w:pPr>
        <w:pStyle w:val="Heading1"/>
      </w:pPr>
      <w:r>
        <w:t>Informations complémentaires</w:t>
      </w:r>
    </w:p>
    <w:p>
      <w:r>
        <w:t>Le rapport note également que "le dégel du pergélisol et l'évolution des conditions météorologiques devraient avoir un impact croissant sur les populations, les infrastructures et les industries de l'Arctique" (section 3.5.4.2).</w:t>
      </w:r>
    </w:p>
    <w:p>
      <w:pPr>
        <w:pStyle w:val="Heading1"/>
      </w:pPr>
      <w:r>
        <w:t>Référence spécifiques</w:t>
      </w:r>
    </w:p>
    <w:p>
      <w:r>
        <w:t>3.SM.3.3.6; 3.4.13; 3.5.4.2</w:t>
      </w:r>
    </w:p>
    <w:p>
      <w:pPr>
        <w:pStyle w:val="Heading1"/>
      </w:pPr>
      <w:r>
        <w:t>Référence pour les données sources :</w:t>
      </w:r>
    </w:p>
    <w:p>
      <w:r>
        <w:t xml:space="preserve">Hoegh-Guldberg, O., D. Jacob, M. Taylor, M. Bindi, S. Brown, I. Camilloni, A. Diedhiou, R. Djalante, K.L. Ebi, F. Engelbrecht, J. Guiot, Y. Hijioka, S. Mehrotra, A. Payne, S.I. Seneviratne, A. Thomas, R. Warren, and G. Zhou, 2018: Impacts of 1.5ºC Global Warming on Natural and Human Systems. In: </w:t>
      </w:r>
      <w:r>
        <w:rPr>
          <w:i/>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t xml:space="preserve"> [Masson-Delmotte, V., P. Zhai, H.-O. Pörtner, D. Roberts, J. Skea, P.R. Shukla, A. Pirani, W. Moufouma-Okia, C. Péan, R. Pidcock, S. Connors, J.B.R. Matthews, Y. Chen, X. Zhou, M.I. Gomis, E. Lonnoy, T. Maycock, M. Tignor, and T. Waterfield (eds.)]. Cambridge University Press, Cambridge, UK and New York, NY, USA, pp. 175-312. </w:t>
      </w:r>
      <w:hyperlink r:id="rId11">
        <w:r>
          <w:rPr>
            <w:u w:val="single"/>
          </w:rPr>
          <w:t>https://doi.org/10.1017/9781009157940.005</w:t>
        </w:r>
      </w:hyperlink>
      <w:r>
        <w:br/>
        <w:t xml:space="preserve">Alternative direct download: </w:t>
      </w:r>
      <w:hyperlink r:id="rId12">
        <w:r>
          <w:rPr>
            <w:u w:val="single"/>
          </w:rPr>
          <w:t>ipcc.ch/site/assets/uploads/sites/2/2022/06/SR15_Chapter_3_HR.pdf</w:t>
        </w:r>
      </w:hyperlink>
    </w:p>
    <w:p>
      <w:r>
        <w:t xml:space="preserve">Hoegh-Guldberg, O., D. Jacob, M. Taylor, M. Bindi, S. Brown, I. Camilloni, A. Diedhiou, R. Djalante, K.L. Ebi, F. Engelbrecht, J. Guiot, Y. Hijioka, S. Mehrotra, A. Payne, S.I. Seneviratne, A. Thomas, R. Warren, and G. Zhou, 2018: Impacts of 1.5ºC Global Warming on Natural and Human Systems Supplementary Material. In: </w:t>
      </w:r>
      <w:r>
        <w:rPr>
          <w:i/>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t xml:space="preserve"> [Masson-Delmotte, V., P. Zhai, H.-O. Pörtner, D. Roberts, J. Skea, P.R. Shukla, A. Pirani, W. Moufouma-Okia, C. Péan, R. Pidcock, S. Connors, J.B.R. Matthews, Y. Chen, X. Zhou, M.I. Gomis, E. Lonnoy, T. Maycock, M. Tignor, and T. Waterfield (eds.)], url: </w:t>
      </w:r>
      <w:hyperlink r:id="rId13">
        <w:r>
          <w:rPr>
            <w:u w:val="single"/>
          </w:rPr>
          <w:t>ipcc.ch/site/assets/uploads/sites/2/2019/09/SR15_3SM_High_Res.pdf</w:t>
        </w:r>
      </w:hyperlink>
    </w:p>
    <w:p>
      <w:pPr>
        <w:pStyle w:val="Heading1"/>
      </w:pPr>
      <w:r>
        <w:t>Avis de non-responsabilité :</w:t>
      </w:r>
    </w:p>
    <w:p>
      <w:r>
        <w:t>Le projet Embers Explorer n'est pas affilié au GIEC, n'est pas approuvé ou autorisé par le GIEC et n'est pas un produit du GIEC. Les figures présentées ici ne sont pas des figures du GIEC, n'ont pas été soumises aux processus formels d'examen du GIEC et n'ont pas été approuvées par le GIEC. Le GIEC n'assume aucune responsabilité quant à leur exactitude.</w:t>
      </w:r>
    </w:p>
    <w:p>
      <w:r>
        <w:t>Cependant, tous les efforts sont faits pour s'assurer que les données résultant des évaluations du GIEC sont représentées avec précision dans ce document, en faisant dûment référence aux sources.</w:t>
      </w:r>
    </w:p>
    <w:p>
      <w:r>
        <w:t>Une archive de la base de données sur laquelle cette application est basée est disponible sur Zenodo (</w:t>
      </w:r>
      <w:hyperlink r:id="rId14">
        <w:r>
          <w:rPr>
            <w:u w:val="single"/>
          </w:rPr>
          <w:t>doi.org/10.5281/zenodo.12626977</w:t>
        </w:r>
      </w:hyperlink>
      <w:r>
        <w:t>) sous la licence CC-BY 4.0. Nous avons confirmé avec le GIEC que ces données peuvent être distribuées de cette manière.</w:t>
      </w:r>
    </w:p>
    <w:p>
      <w:r>
        <w:t>[This file was generated by the Embers Explorer 1.4.1 on 2026-04-21.]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27" TargetMode="External"/><Relationship Id="rId11" Type="http://schemas.openxmlformats.org/officeDocument/2006/relationships/hyperlink" Target="https://doi.org/10.1017/9781009157940.005" TargetMode="External"/><Relationship Id="rId12" Type="http://schemas.openxmlformats.org/officeDocument/2006/relationships/hyperlink" Target="https://ipcc.ch/site/assets/uploads/sites/2/2022/06/SR15_Chapter_3_HR.pdf" TargetMode="External"/><Relationship Id="rId13" Type="http://schemas.openxmlformats.org/officeDocument/2006/relationships/hyperlink" Target="https://ipcc.ch/site/assets/uploads/sites/2/2019/09/SR15_3SM_High_Res.pdf" TargetMode="External"/><Relationship Id="rId14"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