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Écosystèmes des plages de sable</w:t>
      </w:r>
    </w:p>
    <w:p>
      <w:pPr>
        <w:pStyle w:val="Warning"/>
      </w:pPr>
      <w:r>
        <w:t>Traduction automatique</w:t>
      </w:r>
    </w:p>
    <w:tbl>
      <w:tblPr>
        <w:tblW w:type="auto" w:w="0"/>
        <w:tblLook w:firstColumn="1" w:firstRow="1" w:lastColumn="0" w:lastRow="0" w:noHBand="0" w:noVBand="1" w:val="04A0"/>
      </w:tblPr>
      <w:tblGrid>
        <w:gridCol w:w="4320"/>
        <w:gridCol w:w="4320"/>
      </w:tblGrid>
      <w:tr>
        <w:tc>
          <w:tcPr>
            <w:tcW w:type="dxa" w:w="6803"/>
          </w:tcPr>
          <w:p>
            <w:r>
              <w:t>Résumé du risque évalué :</w:t>
            </w:r>
          </w:p>
          <w:p>
            <w:r>
              <w:t>Augmentation de l'érosion/de la perte de sédiments liée aux tempêtes, aux vagues et à la SLR, ainsi qu'aux effets du réchauffement et de l'acidification sur les espèces (migration, réduction de la taille du corps, mortalité). Changements dans la morphologie des plages, affouillement des dunes, perte de végétation, réduction de la surface des plages et des sites de nidification des tortues. Les plages de sable sont des systèmes hautement dynamiques (par exemple, par le déplacement des sédiments et l'expansion vers l'intérieur des terres), avec une capacité d'adaptation naturelle, y compris par la redistribution des espèces ; cependant, les activités humaines limitent cette adaptation naturelle, en particulier en restreignant la migration vers l'intérieur des terres ("coastal squeeze"). [5.ES, 5.3.7, Tableau SM5.8a].</w:t>
            </w:r>
          </w:p>
          <w:p>
            <w:r>
              <w:t>Database id: 67 (</w:t>
            </w:r>
            <w:hyperlink r:id="rId10">
              <w:r>
                <w:rPr>
                  <w:u w:val="single"/>
                </w:rPr>
                <w:t>link</w:t>
              </w:r>
            </w:hyperlink>
            <w:r>
              <w:t>).</w:t>
            </w:r>
          </w:p>
          <w:p>
            <w:r>
              <w:t>Cette braise se retrouve dans la (les) figure(s) suivante(s) :</w:t>
              <w:br/>
            </w:r>
            <w:r>
              <w:t xml:space="preserve">Figure 5-16 of SROCC-Chapter5; </w:t>
            </w:r>
            <w:r>
              <w:br/>
              <w:t>(en règle générale, les résumés ne sont pas répertoriés ici)</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0.9</w:t>
            </w:r>
          </w:p>
        </w:tc>
        <w:tc>
          <w:tcPr>
            <w:tcW w:type="dxa" w:w="2362"/>
            <w:vMerge w:val="restart"/>
            <w:vAlign w:val="center"/>
          </w:tcPr>
          <w:p>
            <w:r>
              <w:rPr>
                <w:i/>
              </w:rPr>
              <w:t>medium confidence</w:t>
            </w:r>
          </w:p>
        </w:tc>
      </w:tr>
      <w:tr>
        <w:tc>
          <w:tcPr>
            <w:tcW w:type="dxa" w:w="787"/>
          </w:tcPr>
          <w:p>
            <w:r>
              <w:t>max</w:t>
            </w:r>
          </w:p>
        </w:tc>
        <w:tc>
          <w:tcPr>
            <w:tcW w:type="dxa" w:w="787"/>
          </w:tcPr>
          <w:p>
            <w:r>
              <w:t>1.8</w:t>
            </w:r>
          </w:p>
        </w:tc>
        <w:tc>
          <w:tcPr>
            <w:tcW w:type="dxa" w:w="2880"/>
            <w:vMerge/>
          </w:tcPr>
          <w:p/>
        </w:tc>
      </w:tr>
    </w:tbl>
    <w:p>
      <w:r>
        <w:t>Dans le cadre d'un scénario de faibles émissions, le risque ne devrait être que légèrement plus élevé qu'aujourd'hui. [5.3.7]</w:t>
      </w:r>
    </w:p>
    <w:p>
      <w:pPr>
        <w:pStyle w:val="Heading1"/>
      </w:pPr>
      <w:r>
        <w:t>Transitions: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2.3</w:t>
            </w:r>
          </w:p>
        </w:tc>
        <w:tc>
          <w:tcPr>
            <w:tcW w:type="dxa" w:w="2362"/>
            <w:vMerge w:val="restart"/>
            <w:vAlign w:val="center"/>
          </w:tcPr>
          <w:p>
            <w:r>
              <w:rPr>
                <w:i/>
              </w:rPr>
              <w:t>low confidence</w:t>
            </w:r>
          </w:p>
        </w:tc>
      </w:tr>
      <w:tr>
        <w:tc>
          <w:tcPr>
            <w:tcW w:type="dxa" w:w="787"/>
          </w:tcPr>
          <w:p>
            <w:r>
              <w:t>max</w:t>
            </w:r>
          </w:p>
        </w:tc>
        <w:tc>
          <w:tcPr>
            <w:tcW w:type="dxa" w:w="787"/>
          </w:tcPr>
          <w:p>
            <w:r>
              <w:t>3.0</w:t>
            </w:r>
          </w:p>
        </w:tc>
        <w:tc>
          <w:tcPr>
            <w:tcW w:type="dxa" w:w="2880"/>
            <w:vMerge/>
          </w:tcPr>
          <w:p/>
        </w:tc>
      </w:tr>
    </w:tbl>
    <w:p>
      <w:r>
        <w:t>Le risque de perte d'habitats pour la flore et la faune devrait atteindre un niveau élevé dans le cadre d'un scénario à fortes émissions d'ici la fin du 21e siècle [5.3.7].</w:t>
      </w:r>
    </w:p>
    <w:p>
      <w:pPr>
        <w:pStyle w:val="Heading1"/>
      </w:pPr>
      <w:r>
        <w:t>Référence spécifiques</w:t>
      </w:r>
    </w:p>
    <w:p>
      <w:r>
        <w:t>5.3.3, 5.3.7, Table SM5.8a, Table SM5.8b</w:t>
      </w:r>
    </w:p>
    <w:p>
      <w:pPr>
        <w:pStyle w:val="Heading1"/>
      </w:pPr>
      <w:r>
        <w:t>Référence pour les données sources :</w:t>
      </w:r>
    </w:p>
    <w:p>
      <w:r>
        <w:t xml:space="preserve">Bindoff, N.L., W.W.L. Cheung, J.G. Kairo, J. Arístegui, V.A. Guinder, R. Hallberg, N. Hilmi, N. Jiao, M.S. Karim, L. Levin, S. O’Donoghue, S.R. Purca Cuicapusa, B. Rinkevich, T. Suga, A. Tagliabue, and P. Williamson, 2019: Changing Ocean, Marine Ecosystems, and Dependent Communities.. In: </w:t>
      </w:r>
      <w:r>
        <w:rPr>
          <w:i/>
        </w:rPr>
        <w:t>IPCC Special Report on the Ocean and Cryosphere in a Changing Climate</w:t>
      </w:r>
      <w:r>
        <w:t xml:space="preserve"> [H.-O. Pörtner, D.C. Roberts, V. Masson-Delmotte, P. Zhai, M. Tignor, E. Poloczanska, K. Mintenbeck, A. Alegría, M. Nicolai, A. Okem, J. Petzold, B. Rama, N.M. Weyer (eds.)]. Cambridge University Press, Cambridge, UK and New York, NY, USA, pp. 447-587. </w:t>
      </w:r>
      <w:hyperlink r:id="rId11">
        <w:r>
          <w:rPr>
            <w:u w:val="single"/>
          </w:rPr>
          <w:t>https://doi.org/10.1017/9781009157964.007</w:t>
        </w:r>
      </w:hyperlink>
      <w:r>
        <w:br/>
        <w:t xml:space="preserve">Alternative direct download: </w:t>
      </w:r>
      <w:hyperlink r:id="rId12">
        <w:r>
          <w:rPr>
            <w:u w:val="single"/>
          </w:rPr>
          <w:t>www.ipcc.ch/site/assets/uploads/sites/3/2022/03/07_SROCC_Ch05_FINAL.pdf</w:t>
        </w:r>
      </w:hyperlink>
    </w:p>
    <w:p>
      <w:r>
        <w:t xml:space="preserve">Bindoff, N.L., W.W.L. Cheung, J.G. Kairo, J. Arístegui, V.A. Guinder, R. Hallberg, N. Hilmi, N. Jiao, M.S. Karim, L. Levin, S. O’Donoghue, S.R. Purca Cuicapusa, B. Rinkevich, T. Suga, A. Tagliabue, and P. Williamson, 2019: Changing Ocean, Marine Ecosystems, and Dependent Communities. Supplementary Material. In: </w:t>
      </w:r>
      <w:r>
        <w:rPr>
          <w:i/>
        </w:rPr>
        <w:t>IPCC Special Report on the Ocean and Cryosphere in a Changing Climate</w:t>
      </w:r>
      <w:r>
        <w:t xml:space="preserve"> [H.-O. Pörtner, D.C. Roberts, V. Masson-Delmotte, P. Zhai, M. Tignor, E. Poloczanska, K. Mintenbeck, A. Alegría, M. Nicolai, A. Okem, J. Petzold, B. Rama, N.M. Weyer (eds.)], url: </w:t>
      </w:r>
      <w:hyperlink r:id="rId13">
        <w:r>
          <w:rPr>
            <w:u w:val="single"/>
          </w:rPr>
          <w:t>www.ipcc.ch/site/assets/uploads/sites/3/2022/03/SROCC_Ch05-SM_FINAL.pdf</w:t>
        </w:r>
      </w:hyperlink>
    </w:p>
    <w:p>
      <w:pPr>
        <w:pStyle w:val="Heading1"/>
      </w:pPr>
      <w:r>
        <w:t>Avis de non-responsabilité :</w:t>
      </w:r>
    </w:p>
    <w:p>
      <w:r>
        <w:t>Le projet Embers Explorer n'est pas affilié au GIEC, n'est pas approuvé ou autorisé par le GIEC et n'est pas un produit du GIEC. Les figures présentées ici ne sont pas des figures du GIEC, n'ont pas été soumises aux processus formels d'examen du GIEC et n'ont pas été approuvées par le GIEC. Le GIEC n'assume aucune responsabilité quant à leur exactitude.</w:t>
      </w:r>
    </w:p>
    <w:p>
      <w:r>
        <w:t>Cependant, tous les efforts sont faits pour s'assurer que les données résultant des évaluations du GIEC sont représentées avec précision dans ce document, en faisant dûment référence aux sources.</w:t>
      </w:r>
    </w:p>
    <w:p>
      <w:r>
        <w:t>Une archive de la base de données sur laquelle cette application est basée est disponible sur Zenodo (</w:t>
      </w:r>
      <w:hyperlink r:id="rId14">
        <w:r>
          <w:rPr>
            <w:u w:val="single"/>
          </w:rPr>
          <w:t>doi.org/10.5281/zenodo.12626977</w:t>
        </w:r>
      </w:hyperlink>
      <w:r>
        <w:t>) sous la licence CC-BY 4.0. Nous avons confirmé avec le GIEC que ces données peuvent être distribuées de cette manière.</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67" TargetMode="External"/><Relationship Id="rId11" Type="http://schemas.openxmlformats.org/officeDocument/2006/relationships/hyperlink" Target="https://doi.org/10.1017/9781009157964.007" TargetMode="External"/><Relationship Id="rId12" Type="http://schemas.openxmlformats.org/officeDocument/2006/relationships/hyperlink" Target="https://www.ipcc.ch/site/assets/uploads/sites/3/2022/03/07_SROCC_Ch05_FINAL.pdf" TargetMode="External"/><Relationship Id="rId13" Type="http://schemas.openxmlformats.org/officeDocument/2006/relationships/hyperlink" Target="https://www.ipcc.ch/site/assets/uploads/sites/3/2022/03/SROCC_Ch05-SM_FINAL.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