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Perte de biodiversité terrestre et d'eau douce</w:t>
      </w:r>
    </w:p>
    <w:p>
      <w:pPr>
        <w:pStyle w:val="Warning"/>
      </w:pPr>
      <w:r>
        <w:t>Traduction automatique</w:t>
      </w:r>
    </w:p>
    <w:tbl>
      <w:tblPr>
        <w:tblW w:type="auto" w:w="0"/>
        <w:tblLook w:firstColumn="1" w:firstRow="1" w:lastColumn="0" w:lastRow="0" w:noHBand="0" w:noVBand="1" w:val="04A0"/>
      </w:tblPr>
      <w:tblGrid>
        <w:gridCol w:w="4320"/>
        <w:gridCol w:w="4320"/>
      </w:tblGrid>
      <w:tr>
        <w:tc>
          <w:tcPr>
            <w:tcW w:type="dxa" w:w="6803"/>
          </w:tcPr>
          <w:p>
            <w:r>
              <w:t>Résumé du risque évalué :</w:t>
            </w:r>
          </w:p>
          <w:p>
            <w:r>
              <w:t>Pertes d'espèces animales et végétales de différents écosystèmes à l'échelle mondiale, avec pour conséquence un déclin de l'intégrité, du fonctionnement et de la résilience des écosystèmes [Figure 2.11].</w:t>
            </w:r>
          </w:p>
          <w:p>
            <w:r>
              <w:t>Database id: 70 (</w:t>
            </w:r>
            <w:hyperlink r:id="rId10">
              <w:r>
                <w:rPr>
                  <w:u w:val="single"/>
                </w:rPr>
                <w:t>link</w:t>
              </w:r>
            </w:hyperlink>
            <w:r>
              <w:t>).</w:t>
            </w:r>
          </w:p>
          <w:p>
            <w:r>
              <w:t>Cette braise se retrouve dans la (les) figure(s) suivante(s) :</w:t>
              <w:br/>
            </w:r>
            <w:r>
              <w:t xml:space="preserve">Figure 2.11 of AR6-WGII-Chapter2; </w:t>
            </w:r>
            <w:r>
              <w:br/>
              <w:t>(en règle générale, les résumés ne sont pas répertoriés ici)</w:t>
            </w:r>
          </w:p>
          <w:p>
            <w:pPr>
              <w:pStyle w:val="Notes"/>
            </w:pPr>
            <w:r>
              <w:t>The ember diagram included in this document is based on the assessment provided in the IPCC report and supplementary material listed below, but it does not come from the IPCC; all additional information is provided in view of helping to understand this diagram and is also based on, or reproduced from, the same IPCC sources. Please read the disclaimer notice at the end of this document.</w:t>
            </w:r>
          </w:p>
        </w:tc>
        <w:tc>
          <w:tcPr>
            <w:tcW w:type="dxa" w:w="1701"/>
          </w:tcPr>
          <w:p>
            <w:r>
              <w:drawing>
                <wp:inline xmlns:a="http://schemas.openxmlformats.org/drawingml/2006/main" xmlns:pic="http://schemas.openxmlformats.org/drawingml/2006/picture">
                  <wp:extent cx="1425743" cy="28800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1425743" cy="2880000"/>
                          </a:xfrm>
                          <a:prstGeom prst="rect"/>
                        </pic:spPr>
                      </pic:pic>
                    </a:graphicData>
                  </a:graphic>
                </wp:inline>
              </w:drawing>
            </w:r>
          </w:p>
        </w:tc>
      </w:tr>
    </w:tbl>
    <w:p>
      <w:pPr>
        <w:pStyle w:val="Heading1"/>
      </w:pPr>
      <w:r>
        <w:t>Transitions: undetectable to moderate</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0.6</w:t>
            </w:r>
          </w:p>
        </w:tc>
        <w:tc>
          <w:tcPr>
            <w:tcW w:type="dxa" w:w="2362"/>
            <w:vMerge w:val="restart"/>
            <w:vAlign w:val="center"/>
          </w:tcPr>
          <w:p>
            <w:r>
              <w:rPr>
                <w:i/>
              </w:rPr>
              <w:t>high confidence</w:t>
            </w:r>
          </w:p>
        </w:tc>
      </w:tr>
      <w:tr>
        <w:tc>
          <w:tcPr>
            <w:tcW w:type="dxa" w:w="787"/>
          </w:tcPr>
          <w:p>
            <w:r>
              <w:t>max</w:t>
            </w:r>
          </w:p>
        </w:tc>
        <w:tc>
          <w:tcPr>
            <w:tcW w:type="dxa" w:w="787"/>
          </w:tcPr>
          <w:p>
            <w:r>
              <w:t>1.0</w:t>
            </w:r>
          </w:p>
        </w:tc>
        <w:tc>
          <w:tcPr>
            <w:tcW w:type="dxa" w:w="2880"/>
            <w:vMerge/>
          </w:tcPr>
          <w:p/>
        </w:tc>
      </w:tr>
    </w:tbl>
    <w:p>
      <w:r>
        <w:t>Les observations ont révélé les premières espèces perdant &gt;50% de leur aire de répartition en raison du changement climatique, ce qui les a placées dans la catégorie "en danger" de l'UICN. De nombreuses extinctions de populations locales ont été observées chez les espèces les plus sensibles, et l'on commence à détecter des extinctions globales d'espèces imputables aux changements climatiques. [Tableau SM2.5, 2.4.2.2]</w:t>
      </w:r>
    </w:p>
    <w:p>
      <w:pPr>
        <w:pStyle w:val="Heading1"/>
      </w:pPr>
      <w:r>
        <w:t>Transitions: moderate to high</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0.875</w:t>
            </w:r>
          </w:p>
        </w:tc>
        <w:tc>
          <w:tcPr>
            <w:tcW w:type="dxa" w:w="2362"/>
            <w:vMerge w:val="restart"/>
            <w:vAlign w:val="center"/>
          </w:tcPr>
          <w:p>
            <w:r>
              <w:rPr>
                <w:i/>
              </w:rPr>
              <w:t>medium confidence</w:t>
            </w:r>
          </w:p>
        </w:tc>
      </w:tr>
      <w:tr>
        <w:tc>
          <w:tcPr>
            <w:tcW w:type="dxa" w:w="787"/>
          </w:tcPr>
          <w:p>
            <w:r>
              <w:t>max</w:t>
            </w:r>
          </w:p>
        </w:tc>
        <w:tc>
          <w:tcPr>
            <w:tcW w:type="dxa" w:w="787"/>
          </w:tcPr>
          <w:p>
            <w:r>
              <w:t>2.025</w:t>
            </w:r>
          </w:p>
        </w:tc>
        <w:tc>
          <w:tcPr>
            <w:tcW w:type="dxa" w:w="2880"/>
            <w:vMerge/>
          </w:tcPr>
          <w:p/>
        </w:tc>
      </w:tr>
    </w:tbl>
    <w:p>
      <w:r>
        <w:t>Autour de 1,5°C, quelques taxons sont connus pour leur biologie de base et leurs exigences en matière d'habitat pour être exposés à un risque élevé d'extinction (en voie de disparition). Dans un nombre croissant de taxons, plus de 10 % des espèces devraient atteindre un risque élevé d'extinction (ce qui correspond à 1 000 fois le taux naturel d'extinction). [Tableau 2.5]</w:t>
      </w:r>
    </w:p>
    <w:p>
      <w:pPr>
        <w:pStyle w:val="Heading1"/>
      </w:pPr>
      <w:r>
        <w:t>Transitions: high to very high</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1.6</w:t>
            </w:r>
          </w:p>
        </w:tc>
        <w:tc>
          <w:tcPr>
            <w:tcW w:type="dxa" w:w="2362"/>
            <w:vMerge w:val="restart"/>
            <w:vAlign w:val="center"/>
          </w:tcPr>
          <w:p>
            <w:r>
              <w:rPr>
                <w:i/>
              </w:rPr>
              <w:t>medium confidence</w:t>
            </w:r>
          </w:p>
        </w:tc>
      </w:tr>
      <w:tr>
        <w:tc>
          <w:tcPr>
            <w:tcW w:type="dxa" w:w="787"/>
          </w:tcPr>
          <w:p>
            <w:r>
              <w:t>max</w:t>
            </w:r>
          </w:p>
        </w:tc>
        <w:tc>
          <w:tcPr>
            <w:tcW w:type="dxa" w:w="787"/>
          </w:tcPr>
          <w:p>
            <w:r>
              <w:t>2.55</w:t>
            </w:r>
          </w:p>
        </w:tc>
        <w:tc>
          <w:tcPr>
            <w:tcW w:type="dxa" w:w="2880"/>
            <w:vMerge/>
          </w:tcPr>
          <w:p/>
        </w:tc>
      </w:tr>
    </w:tbl>
    <w:p>
      <w:r>
        <w:t>Dans un nombre croissant de taxons, plus de 20 % des espèces devraient atteindre un risque élevé d'extinction. Dans le scénario le plus pessimiste (10e percentile des modèles), certains taxons présentent un risque élevé d'extinction pour plus de 50 % des espèces [tableau 2.5, tableau SM2.5, 2.5.1.3].</w:t>
      </w:r>
    </w:p>
    <w:p>
      <w:pPr>
        <w:pStyle w:val="Heading1"/>
      </w:pPr>
      <w:r>
        <w:t>Informations complémentaires</w:t>
      </w:r>
    </w:p>
    <w:p>
      <w:r>
        <w:t>Nous n'avons pas inclus les valeurs médianes, fournies dans SM2.5, car celles-ci sont toujours égales à la moyenne des valeurs min et max : cela n'a pas d'effet sur le diagramme. Les déclarations fournies pour expliquer chaque transition sont attribuées à la médiane (c'est-à-dire au milieu de la transition).</w:t>
      </w:r>
    </w:p>
    <w:p>
      <w:pPr>
        <w:pStyle w:val="Heading1"/>
      </w:pPr>
      <w:r>
        <w:t>Référence pour les données sources :</w:t>
      </w:r>
    </w:p>
    <w:p>
      <w:r>
        <w:t xml:space="preserve">Parmesan, C., M.D.Morecroft, Y.Trisurat, R.Adrian, G.Z.Anshari, A.Arneth, Q.Gao, P.Gonzalez, R.Harris, J.Price, N. Stevens, and G.H. Talukdarr, 2022: Terrestrial and freshwater ecosystems and their services.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Cambridge University Press, Cambridge, UK and New York, NY, USA, pp. 197-377. </w:t>
      </w:r>
      <w:hyperlink r:id="rId11">
        <w:r>
          <w:rPr>
            <w:u w:val="single"/>
          </w:rPr>
          <w:t>https://doi.org/10.1017/9781009325844.004</w:t>
        </w:r>
      </w:hyperlink>
      <w:r>
        <w:br/>
        <w:t xml:space="preserve">Alternative direct download: </w:t>
      </w:r>
      <w:hyperlink r:id="rId12">
        <w:r>
          <w:rPr>
            <w:u w:val="single"/>
          </w:rPr>
          <w:t>www.ipcc.ch/report/ar6/wg2/downloads/report/IPCC_AR6_WGII_Chapter02.pdf</w:t>
        </w:r>
      </w:hyperlink>
    </w:p>
    <w:p>
      <w:r>
        <w:t xml:space="preserve">Parmesan, C., M.D.Morecroft, Y.Trisurat, R.Adrian, G.Z.Anshari, A.Arneth, Q.Gao, P.Gonzalez, R.Harris, J.Price, N. Stevens, and G.H. Talukdarr, 2022: Terrestrial and freshwater ecosystems and their services Supplementary Material.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url: </w:t>
      </w:r>
      <w:hyperlink r:id="rId13">
        <w:r>
          <w:rPr>
            <w:u w:val="single"/>
          </w:rPr>
          <w:t>www.ipcc.ch/report/ar6/wg2/downloads/report/IPCC_AR6_WGII_Chapter02_SM.pdf</w:t>
        </w:r>
      </w:hyperlink>
    </w:p>
    <w:p>
      <w:pPr>
        <w:pStyle w:val="Heading1"/>
      </w:pPr>
      <w:r>
        <w:t>Avis de non-responsabilité :</w:t>
      </w:r>
    </w:p>
    <w:p>
      <w:r>
        <w:t>Le projet Embers Explorer n'est pas affilié au GIEC, n'est pas approuvé ou autorisé par le GIEC et n'est pas un produit du GIEC. Les figures présentées ici ne sont pas des figures du GIEC, n'ont pas été soumises aux processus formels d'examen du GIEC et n'ont pas été approuvées par le GIEC. Le GIEC n'assume aucune responsabilité quant à leur exactitude.</w:t>
      </w:r>
    </w:p>
    <w:p>
      <w:r>
        <w:t>Cependant, tous les efforts sont faits pour s'assurer que les données résultant des évaluations du GIEC sont représentées avec précision dans ce document, en faisant dûment référence aux sources.</w:t>
      </w:r>
    </w:p>
    <w:p>
      <w:r>
        <w:t>Une archive de la base de données sur laquelle cette application est basée est disponible sur Zenodo (</w:t>
      </w:r>
      <w:hyperlink r:id="rId14">
        <w:r>
          <w:rPr>
            <w:u w:val="single"/>
          </w:rPr>
          <w:t>doi.org/10.5281/zenodo.12626977</w:t>
        </w:r>
      </w:hyperlink>
      <w:r>
        <w:t>) sous la licence CC-BY 4.0. Nous avons confirmé avec le GIEC que ces données peuvent être distribuées de cette manière.</w:t>
      </w:r>
    </w:p>
    <w:p>
      <w:r>
        <w:t>[This file was generated by the Embers Explorer 1.4.1 on 2026-05-29.]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100"/>
    </w:pPr>
    <w:rPr>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b/>
      <w:bCs/>
      <w:color w:val="365F91" w:themeColor="accent1" w:themeShade="BF"/>
      <w:sz w:val="2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2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tes">
    <w:name w:val="Notes"/>
    <w:rPr>
      <w:color w:val="505050"/>
      <w:sz w:val="18"/>
    </w:rPr>
  </w:style>
  <w:style w:type="paragraph" w:customStyle="1" w:styleId="Warning">
    <w:name w:val="Warning"/>
    <w:rPr>
      <w:color w:val="C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climrisk.org/cree/ember/70" TargetMode="External"/><Relationship Id="rId11" Type="http://schemas.openxmlformats.org/officeDocument/2006/relationships/hyperlink" Target="https://doi.org/10.1017/9781009325844.004" TargetMode="External"/><Relationship Id="rId12" Type="http://schemas.openxmlformats.org/officeDocument/2006/relationships/hyperlink" Target="https://www.ipcc.ch/report/ar6/wg2/downloads/report/IPCC_AR6_WGII_Chapter02.pdf" TargetMode="External"/><Relationship Id="rId13" Type="http://schemas.openxmlformats.org/officeDocument/2006/relationships/hyperlink" Target="https://www.ipcc.ch/report/ar6/wg2/downloads/report/IPCC_AR6_WGII_Chapter02_SM.pdf" TargetMode="External"/><Relationship Id="rId14" Type="http://schemas.openxmlformats.org/officeDocument/2006/relationships/hyperlink" Target="https://doi.org/10.5281/zenodo.12626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