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Australie méridionale et sud-est de la Nouvelle-Zélande : forêts de laminaires - faible adaptation</w:t>
      </w:r>
    </w:p>
    <w:p>
      <w:pPr>
        <w:pStyle w:val="Warning"/>
      </w:pPr>
      <w:r>
        <w:t>Traduction automatique</w:t>
      </w:r>
    </w:p>
    <w:tbl>
      <w:tblPr>
        <w:tblW w:type="auto" w:w="0"/>
        <w:tblLook w:firstColumn="1" w:firstRow="1" w:lastColumn="0" w:lastRow="0" w:noHBand="0" w:noVBand="1" w:val="04A0"/>
      </w:tblPr>
      <w:tblGrid>
        <w:gridCol w:w="4320"/>
        <w:gridCol w:w="4320"/>
      </w:tblGrid>
      <w:tr>
        <w:tc>
          <w:tcPr>
            <w:tcW w:type="dxa" w:w="6803"/>
          </w:tcPr>
          <w:p>
            <w:r>
              <w:t>Résumé du risque évalué :</w:t>
            </w:r>
          </w:p>
          <w:p>
            <w:r>
              <w:t>Perte des forêts de laminaires dans le sud de l'Australie et le sud-est de la Nouvelle-Zélande en raison du réchauffement de l'océan, des vagues de chaleur marine et du surpâturage dû à l'extension de l'aire de répartition des poissons herbivores et des oursins en raison du climat (scénario d'adaptation faible). [Tableau SM11.2c]</w:t>
            </w:r>
          </w:p>
          <w:p>
            <w:r>
              <w:t>Database id: 96 (</w:t>
            </w:r>
            <w:hyperlink r:id="rId10">
              <w:r>
                <w:rPr>
                  <w:u w:val="single"/>
                </w:rPr>
                <w:t>link</w:t>
              </w:r>
            </w:hyperlink>
            <w:r>
              <w:t>).</w:t>
            </w:r>
            <w:r>
              <w:t xml:space="preserve"> Scenario: Low adaptation.</w:t>
            </w:r>
          </w:p>
          <w:p>
            <w:r>
              <w:t>Cette braise se retrouve dans la (les) figure(s) suivante(s) :</w:t>
              <w:br/>
            </w:r>
            <w:r>
              <w:t xml:space="preserve">Figure 11.6 of AR6-WGII-Chapter11; </w:t>
            </w:r>
            <w:r>
              <w:br/>
              <w:t>(en règle générale, les résumés ne sont pas répertoriés ici)</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0.4</w:t>
            </w:r>
          </w:p>
        </w:tc>
        <w:tc>
          <w:tcPr>
            <w:tcW w:type="dxa" w:w="2362"/>
            <w:vMerge w:val="restart"/>
            <w:vAlign w:val="center"/>
          </w:tcPr>
          <w:p>
            <w:r>
              <w:rPr>
                <w:i/>
              </w:rPr>
              <w:t>high confidence</w:t>
            </w:r>
          </w:p>
        </w:tc>
      </w:tr>
      <w:tr>
        <w:tc>
          <w:tcPr>
            <w:tcW w:type="dxa" w:w="787"/>
          </w:tcPr>
          <w:p>
            <w:r>
              <w:t>max</w:t>
            </w:r>
          </w:p>
        </w:tc>
        <w:tc>
          <w:tcPr>
            <w:tcW w:type="dxa" w:w="787"/>
          </w:tcPr>
          <w:p>
            <w:r>
              <w:t>0.6</w:t>
            </w:r>
          </w:p>
        </w:tc>
        <w:tc>
          <w:tcPr>
            <w:tcW w:type="dxa" w:w="2880"/>
            <w:vMerge/>
          </w:tcPr>
          <w:p/>
        </w:tc>
      </w:tr>
    </w:tbl>
    <w:p>
      <w:r>
        <w:t>(L'information sur cette transition n'est pas encore disponible)</w:t>
      </w:r>
    </w:p>
    <w:p>
      <w:pPr>
        <w:pStyle w:val="Heading1"/>
      </w:pPr>
      <w:r>
        <w:t>Transitions: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high confidence</w:t>
            </w:r>
          </w:p>
        </w:tc>
      </w:tr>
      <w:tr>
        <w:tc>
          <w:tcPr>
            <w:tcW w:type="dxa" w:w="787"/>
          </w:tcPr>
          <w:p>
            <w:r>
              <w:t>max</w:t>
            </w:r>
          </w:p>
        </w:tc>
        <w:tc>
          <w:tcPr>
            <w:tcW w:type="dxa" w:w="787"/>
          </w:tcPr>
          <w:p>
            <w:r>
              <w:t>1.1</w:t>
            </w:r>
          </w:p>
        </w:tc>
        <w:tc>
          <w:tcPr>
            <w:tcW w:type="dxa" w:w="2880"/>
            <w:vMerge/>
          </w:tcPr>
          <w:p/>
        </w:tc>
      </w:tr>
    </w:tbl>
    <w:p>
      <w:r>
        <w:t>(L'information sur cette transition n'est pas encore disponible)</w:t>
      </w:r>
    </w:p>
    <w:p>
      <w:pPr>
        <w:pStyle w:val="Heading1"/>
      </w:pPr>
      <w:r>
        <w:t>Transitions: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w:t>
            </w:r>
          </w:p>
        </w:tc>
        <w:tc>
          <w:tcPr>
            <w:tcW w:type="dxa" w:w="2362"/>
            <w:vMerge w:val="restart"/>
            <w:vAlign w:val="center"/>
          </w:tcPr>
          <w:p>
            <w:r>
              <w:rPr>
                <w:i/>
              </w:rPr>
              <w:t>medium confidence</w:t>
            </w:r>
          </w:p>
        </w:tc>
      </w:tr>
      <w:tr>
        <w:tc>
          <w:tcPr>
            <w:tcW w:type="dxa" w:w="787"/>
          </w:tcPr>
          <w:p>
            <w:r>
              <w:t>max</w:t>
            </w:r>
          </w:p>
        </w:tc>
        <w:tc>
          <w:tcPr>
            <w:tcW w:type="dxa" w:w="787"/>
          </w:tcPr>
          <w:p>
            <w:r>
              <w:t>1.9</w:t>
            </w:r>
          </w:p>
        </w:tc>
        <w:tc>
          <w:tcPr>
            <w:tcW w:type="dxa" w:w="2880"/>
            <w:vMerge/>
          </w:tcPr>
          <w:p/>
        </w:tc>
      </w:tr>
    </w:tbl>
    <w:p>
      <w:r>
        <w:t>(L'information sur cette transition n'est pas encore disponible)</w:t>
      </w:r>
    </w:p>
    <w:p>
      <w:pPr>
        <w:pStyle w:val="Heading1"/>
      </w:pPr>
      <w:r>
        <w:t>Informations complémentaires</w:t>
      </w:r>
    </w:p>
    <w:p>
      <w:r>
        <w:t>Les données relatives à la transition d'un risque élevé à un risque très élevé ne sont pas entièrement disponibles dans le SM. Pour cette transition, nous avons utilisé les données du Centre de distribution des données du GIEC, 2023 (voir la référence spécifique pour ce membre).</w:t>
      </w:r>
    </w:p>
    <w:p>
      <w:pPr>
        <w:pStyle w:val="Heading1"/>
      </w:pPr>
      <w:r>
        <w:t>Référence spécifiques</w:t>
      </w:r>
    </w:p>
    <w:p>
      <w:r>
        <w:t xml:space="preserve">IPCC Data Distribution Centre, 2023: Data used in the Assessment Report 6 from Working Group II of the Intergovernmental Panel on Climate Change (IPCC) for the production of Figure SPM.3; Figure TS.3; Figure 11.6; Figure AI.46, version 0.0.1, DOI: </w:t>
      </w:r>
      <w:hyperlink r:id="rId11">
        <w:r>
          <w:rPr>
            <w:u w:val="single"/>
          </w:rPr>
          <w:t>10.48490/tfq2-9814</w:t>
        </w:r>
      </w:hyperlink>
    </w:p>
    <w:p>
      <w:pPr>
        <w:pStyle w:val="Heading1"/>
      </w:pPr>
      <w:r>
        <w:t>Référence pour les données sources :</w:t>
      </w:r>
    </w:p>
    <w:p>
      <w:r>
        <w:t xml:space="preserve">Lawrence, J., B. Mackey, F. Chiew, M.J. Costello, K. Hennessy, N. Lansbury, U.B. Nidumolu, G. Pecl, L. Rickards, N. Tapper, A. Woodward, and A. Wreford, 2022: Australasia.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1581-1688. </w:t>
      </w:r>
      <w:hyperlink r:id="rId12">
        <w:r>
          <w:rPr>
            <w:u w:val="single"/>
          </w:rPr>
          <w:t>https://doi.org/10.1017/9781009325844.013</w:t>
        </w:r>
      </w:hyperlink>
      <w:r>
        <w:br/>
        <w:t xml:space="preserve">Alternative direct download: </w:t>
      </w:r>
      <w:hyperlink r:id="rId13">
        <w:r>
          <w:rPr>
            <w:u w:val="single"/>
          </w:rPr>
          <w:t>www.ipcc.ch/report/ar6/wg2/downloads/report/IPCC_AR6_WGII_Chapter11.pdf</w:t>
        </w:r>
      </w:hyperlink>
    </w:p>
    <w:p>
      <w:r>
        <w:t xml:space="preserve">Lawrence, J., B. Mackey, F. Chiew, M.J. Costello, K. Hennessy, N. Lansbury, U.B. Nidumolu, G. Pecl, L. Rickards, N. Tapper, A. Woodward, and A. Wreford, 2022: Australasia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www.ipcc.ch/report/ar6/wg2/downloads/report/IPCC_AR6_WGII_Chapter11_SM.pdf</w:t>
        </w:r>
      </w:hyperlink>
    </w:p>
    <w:p>
      <w:pPr>
        <w:pStyle w:val="Heading1"/>
      </w:pPr>
      <w:r>
        <w:t>Avis de non-responsabilité :</w:t>
      </w:r>
    </w:p>
    <w:p>
      <w:r>
        <w:t>Le projet Embers Explorer n'est pas affilié au GIEC, n'est pas approuvé ou autorisé par le GIEC et n'est pas un produit du GIEC. Les figures présentées ici ne sont pas des figures du GIEC, n'ont pas été soumises aux processus formels d'examen du GIEC et n'ont pas été approuvées par le GIEC. Le GIEC n'assume aucune responsabilité quant à leur exactitude.</w:t>
      </w:r>
    </w:p>
    <w:p>
      <w:r>
        <w:t>Cependant, tous les efforts sont faits pour s'assurer que les données résultant des évaluations du GIEC sont représentées avec précision dans ce document, en faisant dûment référence aux sources.</w:t>
      </w:r>
    </w:p>
    <w:p>
      <w:r>
        <w:t>Une archive de la base de données sur laquelle cette application est basée est disponible sur Zenodo (</w:t>
      </w:r>
      <w:hyperlink r:id="rId15">
        <w:r>
          <w:rPr>
            <w:u w:val="single"/>
          </w:rPr>
          <w:t>doi.org/10.5281/zenodo.12626977</w:t>
        </w:r>
      </w:hyperlink>
      <w:r>
        <w:t>) sous la licence CC-BY 4.0. Nous avons confirmé avec le GIEC que ces données peuvent être distribuées de cette manière.</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96" TargetMode="External"/><Relationship Id="rId11" Type="http://schemas.openxmlformats.org/officeDocument/2006/relationships/hyperlink" Target="https://ipcc-browser.ipcc-data.org/browser/dataset/5851/0" TargetMode="External"/><Relationship Id="rId12" Type="http://schemas.openxmlformats.org/officeDocument/2006/relationships/hyperlink" Target="https://doi.org/10.1017/9781009325844.013" TargetMode="External"/><Relationship Id="rId13" Type="http://schemas.openxmlformats.org/officeDocument/2006/relationships/hyperlink" Target="https://www.ipcc.ch/report/ar6/wg2/downloads/report/IPCC_AR6_WGII_Chapter11.pdf" TargetMode="External"/><Relationship Id="rId14" Type="http://schemas.openxmlformats.org/officeDocument/2006/relationships/hyperlink" Target="https://www.ipcc.ch/report/ar6/wg2/downloads/report/IPCC_AR6_WGII_Chapter11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