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Europa: verliezen in gewasproductie - hoge aanpassing</w:t>
      </w:r>
    </w:p>
    <w:p>
      <w:pPr>
        <w:pStyle w:val="Warning"/>
      </w:pPr>
      <w:r>
        <w:t>Automatische vertaling</w:t>
      </w:r>
    </w:p>
    <w:tbl>
      <w:tblPr>
        <w:tblW w:type="auto" w:w="0"/>
        <w:tblLook w:firstColumn="1" w:firstRow="1" w:lastColumn="0" w:lastRow="0" w:noHBand="0" w:noVBand="1" w:val="04A0"/>
      </w:tblPr>
      <w:tblGrid>
        <w:gridCol w:w="4320"/>
        <w:gridCol w:w="4320"/>
      </w:tblGrid>
      <w:tr>
        <w:tc>
          <w:tcPr>
            <w:tcW w:type="dxa" w:w="6803"/>
          </w:tcPr>
          <w:p>
            <w:r>
              <w:t>Samenvatting van het beoordeelde risico:</w:t>
            </w:r>
          </w:p>
          <w:p>
            <w:r>
              <w:t>Risico op productiviteitsverlies in de landbouw, met inbegrip van mislukte oogsten en afname van de kwaliteit van het grasland, voornamelijk als gevolg van de toename van de waarschijnlijkheid van samengestelde hitte en droge omstandigheden en extreem weer. Deze ember gaat uit van een hoog implementatieniveau van meerdere aanpassingsopties (zie de beschrijving van de overgang). [13.10.2.2]</w:t>
            </w:r>
          </w:p>
          <w:p>
            <w:r>
              <w:t>Database id: 139 (</w:t>
            </w:r>
            <w:hyperlink r:id="rId10">
              <w:r>
                <w:rPr>
                  <w:u w:val="single"/>
                </w:rPr>
                <w:t>link</w:t>
              </w:r>
            </w:hyperlink>
            <w:r>
              <w:t>).</w:t>
            </w:r>
            <w:r>
              <w:t xml:space="preserve"> Scenario: High adaptation.</w:t>
            </w:r>
          </w:p>
          <w:p>
            <w:r>
              <w:t>Deze sintel is te vinden in de volgende figuur(s):</w:t>
              <w:br/>
            </w:r>
            <w:r>
              <w:t xml:space="preserve">Figure 13.30 (a) of AR6-WGII-Chapter13; </w:t>
            </w:r>
            <w:r>
              <w:br/>
              <w:t>(samenvattingen worden hier in de regel niet vermeld)</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Overgangen: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0.8</w:t>
            </w:r>
          </w:p>
        </w:tc>
        <w:tc>
          <w:tcPr>
            <w:tcW w:type="dxa" w:w="2362"/>
            <w:vMerge w:val="restart"/>
            <w:vAlign w:val="center"/>
          </w:tcPr>
          <w:p>
            <w:r>
              <w:rPr>
                <w:i/>
              </w:rPr>
              <w:t>medium confidence</w:t>
            </w:r>
          </w:p>
        </w:tc>
      </w:tr>
      <w:tr>
        <w:tc>
          <w:tcPr>
            <w:tcW w:type="dxa" w:w="787"/>
          </w:tcPr>
          <w:p>
            <w:r>
              <w:t>max</w:t>
            </w:r>
          </w:p>
        </w:tc>
        <w:tc>
          <w:tcPr>
            <w:tcW w:type="dxa" w:w="787"/>
          </w:tcPr>
          <w:p>
            <w:r>
              <w:t>1.1</w:t>
            </w:r>
          </w:p>
        </w:tc>
        <w:tc>
          <w:tcPr>
            <w:tcW w:type="dxa" w:w="2880"/>
            <w:vMerge/>
          </w:tcPr>
          <w:p/>
        </w:tc>
      </w:tr>
    </w:tbl>
    <w:p>
      <w:r>
        <w:t xml:space="preserve">Bij sterke aanpassing kan het gebruik van irrigatie de risico's aanzienlijk verminderen door zowel de temperatuur van het bladerdak als de gevolgen van droogte te verminderen. De beschikbaarheid van water en concurrerende toepassingen worden beschouwd in de waterkrapte-ember (sleutelrisico 3, embers </w:t>
      </w:r>
      <w:hyperlink r:id="rId11">
        <w:r>
          <w:rPr>
            <w:u w:val="single"/>
          </w:rPr>
          <w:t>141</w:t>
        </w:r>
      </w:hyperlink>
      <w:r>
        <w:t xml:space="preserve"> en </w:t>
      </w:r>
      <w:hyperlink r:id="rId12">
        <w:r>
          <w:rPr>
            <w:u w:val="single"/>
          </w:rPr>
          <w:t>143</w:t>
        </w:r>
      </w:hyperlink>
      <w:r>
        <w:t>). Wanneer de mogelijkheid om te irrigeren wordt beperkt door de beschikbaarheid van water, zijn andere aanpassingsopties onvoldoende om de oogstverliezen in sommige subregio's te beperken, met name bij 3°C GWL en hoger, met een toename van het risico van noord naar zuid en een hoger risico voor gewassen in het late seizoen, zoals maïs. [13.10.2.2 en Tabel SM13.28]</w:t>
      </w:r>
    </w:p>
    <w:p>
      <w:r>
        <w:t>Veranderingen in cultivars, zaai- en oogstdata kunnen opbrengstverliezen verminderen, maar zijn onvoldoende om de verwachte verliezen bij een opwarming van 3°C en hoger volledig te verminderen, met een toename van het risico van noord naar zuid en voor gewassen die later in het seizoen groeien, zoals maïs. Gewassen veredelen op droogte- en hittetolerantie kan de duurzaamheid van de landbouwproductie in het toekomstige klimaat verbeteren. Gemengde, gediversifieerde systemen, agroforestry en agroecologie dragen bij tot aanpassing, maar hebben een lange aanlooptijd door de sociaaleconomische en beleidsmatige beperkingen van de boeren. [Figuur 13.30 en tabel SM13.28]</w:t>
      </w:r>
    </w:p>
    <w:p>
      <w:pPr>
        <w:pStyle w:val="Heading1"/>
      </w:pPr>
      <w:r>
        <w:t>Bijkomende formatie</w:t>
      </w:r>
    </w:p>
    <w:p>
      <w:r>
        <w:t>Potentiële aanpassingsveranderingen worden samengevat in SM13.28, figuur 13.30 en paragraaf 13.10.2.2.</w:t>
      </w:r>
    </w:p>
    <w:p>
      <w:pPr>
        <w:pStyle w:val="Heading1"/>
      </w:pPr>
      <w:r>
        <w:t>Bronvermelding</w:t>
      </w:r>
    </w:p>
    <w:p>
      <w:r>
        <w:t>Table SM13.28</w:t>
      </w:r>
    </w:p>
    <w:p>
      <w:pPr>
        <w:pStyle w:val="Heading1"/>
      </w:pPr>
      <w:r>
        <w:t>Referentie voor de brongegevens:</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3">
        <w:r>
          <w:rPr>
            <w:u w:val="single"/>
          </w:rPr>
          <w:t>https://doi.org/10.1017/9781009325844.015</w:t>
        </w:r>
      </w:hyperlink>
      <w:r>
        <w:br/>
        <w:t xml:space="preserve">Alternative direct download: </w:t>
      </w:r>
      <w:hyperlink r:id="rId14">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5">
        <w:r>
          <w:rPr>
            <w:u w:val="single"/>
          </w:rPr>
          <w:t>www.ipcc.ch/report/ar6/wg2/downloads/report/IPCC_AR6_WGII_Chapter13_SM.pdf</w:t>
        </w:r>
      </w:hyperlink>
    </w:p>
    <w:p>
      <w:pPr>
        <w:pStyle w:val="Heading1"/>
      </w:pPr>
      <w:r>
        <w:t>Disclaimer:</w:t>
      </w:r>
    </w:p>
    <w:p>
      <w:r>
        <w:t>Het Embers Explorer project is niet gelieerd aan het IPCC, is niet goedgekeurd of geautoriseerd door het IPCC en is geen IPCC-product. De hierin gepresenteerde figuren zijn geen IPCC figuren, zijn niet onderworpen geweest aan formele IPCC beoordelingsprocessen en zijn niet goedgekeurd door het IPCC. Het IPCC is niet verantwoordelijk voor de nauwkeurigheid ervan.</w:t>
      </w:r>
    </w:p>
    <w:p>
      <w:r>
        <w:t>Er wordt echter alles aan gedaan om ervoor te zorgen dat gegevens die voortkomen uit IPCC-evaluaties hier accuraat worden weergegeven, met bronvermelding.</w:t>
      </w:r>
    </w:p>
    <w:p>
      <w:r>
        <w:t>Een archief van de database waarop deze app is gebaseerd is beschikbaar op Zenodo (</w:t>
      </w:r>
      <w:hyperlink r:id="rId16">
        <w:r>
          <w:rPr>
            <w:u w:val="single"/>
          </w:rPr>
          <w:t>doi.org/10.5281/zenodo.12626977</w:t>
        </w:r>
      </w:hyperlink>
      <w:r>
        <w:t>) onder de CC-BY 4.0 licentie. We hebben met het IPCC bevestigd dat deze gegevens op deze manier verspreid mogen worden.</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39" TargetMode="External"/><Relationship Id="rId11" Type="http://schemas.openxmlformats.org/officeDocument/2006/relationships/hyperlink" Target="https://climrisk.org/cree/ember/141" TargetMode="External"/><Relationship Id="rId12" Type="http://schemas.openxmlformats.org/officeDocument/2006/relationships/hyperlink" Target="https://climrisk.org/cree/ember/143" TargetMode="External"/><Relationship Id="rId13" Type="http://schemas.openxmlformats.org/officeDocument/2006/relationships/hyperlink" Target="https://doi.org/10.1017/9781009325844.015" TargetMode="External"/><Relationship Id="rId14" Type="http://schemas.openxmlformats.org/officeDocument/2006/relationships/hyperlink" Target="https://www.ipcc.ch/report/ar6/wg2/downloads/report/IPCC_AR6_WGII_Chapter13.pdf" TargetMode="External"/><Relationship Id="rId15" Type="http://schemas.openxmlformats.org/officeDocument/2006/relationships/hyperlink" Target="https://www.ipcc.ch/report/ar6/wg2/downloads/report/IPCC_AR6_WGII_Chapter13_SM.pdf" TargetMode="External"/><Relationship Id="rId16"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