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Zuid-Europa: mensen met risico op waterschaarste - hoog aanpassingsniveau</w:t>
      </w:r>
    </w:p>
    <w:p>
      <w:pPr>
        <w:pStyle w:val="Warning"/>
      </w:pPr>
      <w:r>
        <w:t>Automatische vertaling</w:t>
      </w:r>
    </w:p>
    <w:tbl>
      <w:tblPr>
        <w:tblW w:type="auto" w:w="0"/>
        <w:tblLook w:firstColumn="1" w:firstRow="1" w:lastColumn="0" w:lastRow="0" w:noHBand="0" w:noVBand="1" w:val="04A0"/>
      </w:tblPr>
      <w:tblGrid>
        <w:gridCol w:w="4320"/>
        <w:gridCol w:w="4320"/>
      </w:tblGrid>
      <w:tr>
        <w:tc>
          <w:tcPr>
            <w:tcW w:type="dxa" w:w="6803"/>
          </w:tcPr>
          <w:p>
            <w:r>
              <w:t>Samenvatting van het beoordeelde risico:</w:t>
            </w:r>
          </w:p>
          <w:p>
            <w:r>
              <w:t>Risico van waterschaarste in Zuid-Europa met een hoge aanpassingsgraad, inclusief cascade-effecten buiten de watersector (zoals landbouw, energie en scheepvaart). [13.10.2.3]</w:t>
            </w:r>
          </w:p>
          <w:p>
            <w:r>
              <w:t>Database id: 141 (</w:t>
            </w:r>
            <w:hyperlink r:id="rId10">
              <w:r>
                <w:rPr>
                  <w:u w:val="single"/>
                </w:rPr>
                <w:t>link</w:t>
              </w:r>
            </w:hyperlink>
            <w:r>
              <w:t>).</w:t>
            </w:r>
            <w:r>
              <w:t xml:space="preserve"> Scenario: High adaptation.</w:t>
            </w:r>
          </w:p>
          <w:p>
            <w:r>
              <w:t>Deze sintel is te vinden in de volgende figuur(s):</w:t>
              <w:br/>
            </w:r>
            <w:r>
              <w:t xml:space="preserve">Figure 13.31 (a) of AR6-WGII-Chapter13; </w:t>
            </w:r>
            <w:r>
              <w:br/>
              <w:t>(samenvattingen worden hier in de regel niet vermeld)</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Overgangen: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medium confidence</w:t>
            </w:r>
          </w:p>
        </w:tc>
      </w:tr>
      <w:tr>
        <w:tc>
          <w:tcPr>
            <w:tcW w:type="dxa" w:w="787"/>
          </w:tcPr>
          <w:p>
            <w:r>
              <w:t>max</w:t>
            </w:r>
          </w:p>
        </w:tc>
        <w:tc>
          <w:tcPr>
            <w:tcW w:type="dxa" w:w="787"/>
          </w:tcPr>
          <w:p>
            <w:r>
              <w:t>1.3</w:t>
            </w:r>
          </w:p>
        </w:tc>
        <w:tc>
          <w:tcPr>
            <w:tcW w:type="dxa" w:w="2880"/>
            <w:vMerge/>
          </w:tcPr>
          <w:p/>
        </w:tc>
      </w:tr>
    </w:tbl>
    <w:p>
      <w:r>
        <w:t>Op het moment van schrijven (rond 1°C GWL) was er al een aanpassingstekort dat mogelijk zou kunnen worden aangepakt. Verbeteringen in waterefficiëntie en gedragsveranderingen kunnen effectief zijn in sommige SSP-scenario's [Tabel SM13.29].</w:t>
      </w:r>
    </w:p>
    <w:p>
      <w:pPr>
        <w:pStyle w:val="Heading1"/>
      </w:pPr>
      <w:r>
        <w:t>Overgangen: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1.8</w:t>
            </w:r>
          </w:p>
        </w:tc>
        <w:tc>
          <w:tcPr>
            <w:tcW w:type="dxa" w:w="2362"/>
            <w:vMerge w:val="restart"/>
            <w:vAlign w:val="center"/>
          </w:tcPr>
          <w:p>
            <w:r>
              <w:rPr>
                <w:i/>
              </w:rPr>
              <w:t>medium confidence</w:t>
            </w:r>
          </w:p>
        </w:tc>
      </w:tr>
      <w:tr>
        <w:tc>
          <w:tcPr>
            <w:tcW w:type="dxa" w:w="787"/>
          </w:tcPr>
          <w:p>
            <w:r>
              <w:t>max</w:t>
            </w:r>
          </w:p>
        </w:tc>
        <w:tc>
          <w:tcPr>
            <w:tcW w:type="dxa" w:w="787"/>
          </w:tcPr>
          <w:p>
            <w:r>
              <w:t>2.2</w:t>
            </w:r>
          </w:p>
        </w:tc>
        <w:tc>
          <w:tcPr>
            <w:tcW w:type="dxa" w:w="2880"/>
            <w:vMerge/>
          </w:tcPr>
          <w:p/>
        </w:tc>
      </w:tr>
    </w:tbl>
    <w:p>
      <w:r>
        <w:t>Investeringen in grote waterinfrastructuur en geavanceerde technologieën (inclusief opslag), wateroverslag, waterrecycling en -hergebruik en ontzilting zijn nodig. Door dergelijke aanpassingsmaatregelen toe te voegen aan de maatregelen met betrekking tot de watervraag, wordt de overgang met 0,5°C GWL naar boven verschoven ten opzichte van een laag aanpassingsniveau [tabel SM13.29, figuur 13.31].</w:t>
      </w:r>
    </w:p>
    <w:p>
      <w:pPr>
        <w:pStyle w:val="Heading1"/>
      </w:pPr>
      <w:r>
        <w:t>Overgangen: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2.8</w:t>
            </w:r>
          </w:p>
        </w:tc>
        <w:tc>
          <w:tcPr>
            <w:tcW w:type="dxa" w:w="2362"/>
            <w:vMerge w:val="restart"/>
            <w:vAlign w:val="center"/>
          </w:tcPr>
          <w:p>
            <w:r>
              <w:rPr>
                <w:i/>
              </w:rPr>
              <w:t>low confidence</w:t>
            </w:r>
          </w:p>
        </w:tc>
      </w:tr>
      <w:tr>
        <w:tc>
          <w:tcPr>
            <w:tcW w:type="dxa" w:w="787"/>
          </w:tcPr>
          <w:p>
            <w:r>
              <w:t>max</w:t>
            </w:r>
          </w:p>
        </w:tc>
        <w:tc>
          <w:tcPr>
            <w:tcW w:type="dxa" w:w="787"/>
          </w:tcPr>
          <w:p>
            <w:r>
              <w:t>3.8</w:t>
            </w:r>
          </w:p>
        </w:tc>
        <w:tc>
          <w:tcPr>
            <w:tcW w:type="dxa" w:w="2880"/>
            <w:vMerge/>
          </w:tcPr>
          <w:p/>
        </w:tc>
      </w:tr>
    </w:tbl>
    <w:p>
      <w:r>
        <w:t>Er is transformationele aanpassing nodig; uiteindelijk kan een geplande verplaatsing van de industrie en de ontwikkeling van alternatieve middelen van bestaan nodig zijn. Er zijn wisselwerkingen met andere aanpassingsopties waarvoor water nodig is (vooral irrigatie). Sterke aanpassing verschuift de overgang naar een zeer hoog risico met ongeveer 0,2 - 0,3°C.  [Tabel SM13.29, figuur 13.30]</w:t>
      </w:r>
    </w:p>
    <w:p>
      <w:r>
        <w:t>Aanpassing wordt steeds moeilijker vanaf 3°C GWL, vanwege geofysische en technologische grenzen; harde grenzen worden waarschijnlijk het eerst bereikt in delen van Zuid-Europa. [ES]</w:t>
      </w:r>
    </w:p>
    <w:p>
      <w:pPr>
        <w:pStyle w:val="Heading1"/>
      </w:pPr>
      <w:r>
        <w:t>Bijkomende formatie</w:t>
      </w:r>
    </w:p>
    <w:p>
      <w:r>
        <w:t xml:space="preserve">De beschrijving van de overgangen in het rapport is beperkt; een deel van de tekst die hier wordt gegeven, weerspiegelt onze interpretatie, die verder gaat dan de formulering in het rapport. Volgens het referentiedocument is het vooral SSP1 dat wordt beschouwd voor hoge aanpassing in de verklaring over waterefficiëntie en gedragsverandering [Papadimitriou, et al. 2019, </w:t>
      </w:r>
      <w:hyperlink r:id="rId11">
        <w:r>
          <w:rPr>
            <w:u w:val="single"/>
          </w:rPr>
          <w:t>https://doi.org/10.1016/j.scitotenv.2019.134027</w:t>
        </w:r>
      </w:hyperlink>
      <w:r>
        <w:t>].</w:t>
      </w:r>
    </w:p>
    <w:p>
      <w:pPr>
        <w:pStyle w:val="Heading1"/>
      </w:pPr>
      <w:r>
        <w:t>Referentie voor de brongegevens:</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2">
        <w:r>
          <w:rPr>
            <w:u w:val="single"/>
          </w:rPr>
          <w:t>https://doi.org/10.1017/9781009325844.015</w:t>
        </w:r>
      </w:hyperlink>
      <w:r>
        <w:br/>
        <w:t xml:space="preserve">Alternative direct download: </w:t>
      </w:r>
      <w:hyperlink r:id="rId13">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www.ipcc.ch/report/ar6/wg2/downloads/report/IPCC_AR6_WGII_Chapter13_SM.pdf</w:t>
        </w:r>
      </w:hyperlink>
    </w:p>
    <w:p>
      <w:pPr>
        <w:pStyle w:val="Heading1"/>
      </w:pPr>
      <w:r>
        <w:t>Disclaimer:</w:t>
      </w:r>
    </w:p>
    <w:p>
      <w:r>
        <w:t>Het Embers Explorer project is niet gelieerd aan het IPCC, is niet goedgekeurd of geautoriseerd door het IPCC en is geen IPCC-product. De hierin gepresenteerde figuren zijn geen IPCC figuren, zijn niet onderworpen geweest aan formele IPCC beoordelingsprocessen en zijn niet goedgekeurd door het IPCC. Het IPCC is niet verantwoordelijk voor de nauwkeurigheid ervan.</w:t>
      </w:r>
    </w:p>
    <w:p>
      <w:r>
        <w:t>Er wordt echter alles aan gedaan om ervoor te zorgen dat gegevens die voortkomen uit IPCC-evaluaties hier accuraat worden weergegeven, met bronvermelding.</w:t>
      </w:r>
    </w:p>
    <w:p>
      <w:r>
        <w:t>Een archief van de database waarop deze app is gebaseerd is beschikbaar op Zenodo (</w:t>
      </w:r>
      <w:hyperlink r:id="rId15">
        <w:r>
          <w:rPr>
            <w:u w:val="single"/>
          </w:rPr>
          <w:t>doi.org/10.5281/zenodo.12626977</w:t>
        </w:r>
      </w:hyperlink>
      <w:r>
        <w:t>) onder de CC-BY 4.0 licentie. We hebben met het IPCC bevestigd dat deze gegevens op deze manier verspreid mogen worden.</w:t>
      </w:r>
    </w:p>
    <w:p>
      <w:r>
        <w:t>[This file was generated by the Embers Explorer 1.4.0 on 2025-08-06.]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41" TargetMode="External"/><Relationship Id="rId11" Type="http://schemas.openxmlformats.org/officeDocument/2006/relationships/hyperlink" Target="https://doi.org/10.1016/j.scitotenv.2019.134027" TargetMode="External"/><Relationship Id="rId12" Type="http://schemas.openxmlformats.org/officeDocument/2006/relationships/hyperlink" Target="https://doi.org/10.1017/9781009325844.015" TargetMode="External"/><Relationship Id="rId13" Type="http://schemas.openxmlformats.org/officeDocument/2006/relationships/hyperlink" Target="https://www.ipcc.ch/report/ar6/wg2/downloads/report/IPCC_AR6_WGII_Chapter13.pdf" TargetMode="External"/><Relationship Id="rId14" Type="http://schemas.openxmlformats.org/officeDocument/2006/relationships/hyperlink" Target="https://www.ipcc.ch/report/ar6/wg2/downloads/report/IPCC_AR6_WGII_Chapter13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