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West- en Midden-Europa: mensen die het risico lopen op waterschaarste - hoog aanpassingsniveau</w:t>
      </w:r>
    </w:p>
    <w:p>
      <w:pPr>
        <w:pStyle w:val="Warning"/>
      </w:pPr>
      <w:r>
        <w:t>Automatische vertaling</w:t>
      </w:r>
    </w:p>
    <w:tbl>
      <w:tblPr>
        <w:tblW w:type="auto" w:w="0"/>
        <w:tblLook w:firstColumn="1" w:firstRow="1" w:lastColumn="0" w:lastRow="0" w:noHBand="0" w:noVBand="1" w:val="04A0"/>
      </w:tblPr>
      <w:tblGrid>
        <w:gridCol w:w="4320"/>
        <w:gridCol w:w="4320"/>
      </w:tblGrid>
      <w:tr>
        <w:tc>
          <w:tcPr>
            <w:tcW w:type="dxa" w:w="6803"/>
          </w:tcPr>
          <w:p>
            <w:r>
              <w:t>Samenvatting van het beoordeelde risico:</w:t>
            </w:r>
          </w:p>
          <w:p>
            <w:r>
              <w:t>Risico van waterschaarste in West- en Centraal-Europa met een hoge aanpassingsgraad, inclusief cascade-effecten buiten de watersector (zoals landbouw, energie en scheepvaart). [13.10.2.3]</w:t>
            </w:r>
          </w:p>
          <w:p>
            <w:r>
              <w:t>Database id: 143 (</w:t>
            </w:r>
            <w:hyperlink r:id="rId10">
              <w:r>
                <w:rPr>
                  <w:u w:val="single"/>
                </w:rPr>
                <w:t>link</w:t>
              </w:r>
            </w:hyperlink>
            <w:r>
              <w:t>).</w:t>
            </w:r>
            <w:r>
              <w:t xml:space="preserve"> Scenario: High adaptation.</w:t>
            </w:r>
          </w:p>
          <w:p>
            <w:r>
              <w:t>Deze sintel is te vinden in de volgende figuur(s):</w:t>
              <w:br/>
            </w:r>
            <w:r>
              <w:t xml:space="preserve">Figure 13.31 (a) of AR6-WGII-Chapter13; </w:t>
            </w:r>
            <w:r>
              <w:br/>
              <w:t>(samenvattingen worden hier in de regel niet vermeld)</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Overgangen: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1.5</w:t>
            </w:r>
          </w:p>
        </w:tc>
        <w:tc>
          <w:tcPr>
            <w:tcW w:type="dxa" w:w="2362"/>
            <w:vMerge w:val="restart"/>
            <w:vAlign w:val="center"/>
          </w:tcPr>
          <w:p>
            <w:r>
              <w:rPr>
                <w:i/>
              </w:rPr>
              <w:t>medium confidence</w:t>
            </w:r>
          </w:p>
        </w:tc>
      </w:tr>
      <w:tr>
        <w:tc>
          <w:tcPr>
            <w:tcW w:type="dxa" w:w="787"/>
          </w:tcPr>
          <w:p>
            <w:r>
              <w:t>max</w:t>
            </w:r>
          </w:p>
        </w:tc>
        <w:tc>
          <w:tcPr>
            <w:tcW w:type="dxa" w:w="787"/>
          </w:tcPr>
          <w:p>
            <w:r>
              <w:t>2.5</w:t>
            </w:r>
          </w:p>
        </w:tc>
        <w:tc>
          <w:tcPr>
            <w:tcW w:type="dxa" w:w="2880"/>
            <w:vMerge/>
          </w:tcPr>
          <w:p/>
        </w:tc>
      </w:tr>
    </w:tbl>
    <w:p>
      <w:r>
        <w:t>Er is momenteel een aanpassingstekort dat kan worden aangepakt. Er is een groot potentieel voor waterefficiëntieverbeteringen en waterbesparingen. Regelgeving, prijsstelling en belasting kunnen helpen om de vraag naar water te verminderen. [Tabel SM13.29, figuur 13.31(b), 13.2.2.2].</w:t>
      </w:r>
    </w:p>
    <w:p>
      <w:pPr>
        <w:pStyle w:val="Heading1"/>
      </w:pPr>
      <w:r>
        <w:t>Overgangen: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3.0</w:t>
            </w:r>
          </w:p>
        </w:tc>
        <w:tc>
          <w:tcPr>
            <w:tcW w:type="dxa" w:w="2362"/>
            <w:vMerge w:val="restart"/>
            <w:vAlign w:val="center"/>
          </w:tcPr>
          <w:p>
            <w:r>
              <w:rPr>
                <w:i/>
              </w:rPr>
              <w:t>medium confidence</w:t>
            </w:r>
          </w:p>
        </w:tc>
      </w:tr>
      <w:tr>
        <w:tc>
          <w:tcPr>
            <w:tcW w:type="dxa" w:w="787"/>
          </w:tcPr>
          <w:p>
            <w:r>
              <w:t>max</w:t>
            </w:r>
          </w:p>
        </w:tc>
        <w:tc>
          <w:tcPr>
            <w:tcW w:type="dxa" w:w="787"/>
          </w:tcPr>
          <w:p>
            <w:r>
              <w:t>4.0</w:t>
            </w:r>
          </w:p>
        </w:tc>
        <w:tc>
          <w:tcPr>
            <w:tcW w:type="dxa" w:w="2880"/>
            <w:vMerge/>
          </w:tcPr>
          <w:p/>
        </w:tc>
      </w:tr>
    </w:tbl>
    <w:p>
      <w:r>
        <w:t>Er is een aanzienlijk potentieel voor investeringen in grote waterinfrastructuur en geavanceerde technologieën (inclusief opslag), wateroverslag (met mogelijke gevolgen voor de distributie), recycling en hergebruik van water (waarvoor tijd nodig is voor de ontwikkeling van de infrastructuur), en ontzilting (zij het met nadelige gevolgen voor het milieu en de vraag naar energie). [13.10.2.3, tabel SM13.29 , en figuur 13.31(b)]</w:t>
      </w:r>
    </w:p>
    <w:p>
      <w:r>
        <w:t>Bij een hoge opwarming van de aarde is een groot aantal maatregelen nodig om het risico op waterschaarste voldoende te beperken [figuur 13.31(b)].</w:t>
      </w:r>
    </w:p>
    <w:p>
      <w:pPr>
        <w:pStyle w:val="Heading1"/>
      </w:pPr>
      <w:r>
        <w:t>Bijkomende formatie</w:t>
      </w:r>
    </w:p>
    <w:p>
      <w:r>
        <w:t>In Oost-Europa vormt de onzekerheid over veranderingen in waterschaarste een aparte uitdaging voor aanpassing. [13.2.1.2.2]</w:t>
      </w:r>
    </w:p>
    <w:p>
      <w:r>
        <w:t xml:space="preserve">Opmerking: Het feit dat de risico's in West- en Centraal-Europa (WCE) kleiner zijn dan in Zuid-Europa draagt waarschijnlijk bij aan de kleinere hoeveelheid informatie die specifiek betrekking heeft op WCE, inclusief over de effectiviteit van aanpassingsopties op verschillende opwarmingsniveaus. Een deel van de tekst die hier wordt gegeven, en hoe deze is geplaatst met betrekking tot de risico-overgangen, weerspiegelt onze interpretatie van het rapport, en niet de exacte oorspronkelijke formulering. Vanwege de beperkte informatie die specifiek is voor regio's en opwarmingsniveaus, kan de hier gegeven uitleg over de overgangen nog steeds onvolledig zijn. De betrouwbaarheidsniveaus weerspiegelen figuur 13.31 en de errata die beschikbaar zijn op </w:t>
      </w:r>
      <w:hyperlink r:id="rId11">
        <w:r>
          <w:rPr>
            <w:u w:val="single"/>
          </w:rPr>
          <w:t>ipcc.ch</w:t>
        </w:r>
      </w:hyperlink>
      <w:r>
        <w:t xml:space="preserve"> met betrekking tot tabel SM13.29.</w:t>
      </w:r>
    </w:p>
    <w:p>
      <w:r>
        <w:t>Deze informatie werd aangevuld op basis van AR6 door Philippe Marbaix in april 2025. Opmerkingen zijn welkom.</w:t>
      </w:r>
    </w:p>
    <w:p>
      <w:pPr>
        <w:pStyle w:val="Heading1"/>
      </w:pPr>
      <w:r>
        <w:t>Bronvermelding</w:t>
      </w:r>
    </w:p>
    <w:p>
      <w:r>
        <w:t>Table SM13.29</w:t>
      </w:r>
    </w:p>
    <w:p>
      <w:pPr>
        <w:pStyle w:val="Heading1"/>
      </w:pPr>
      <w:r>
        <w:t>Referentie voor de brongegevens:</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2">
        <w:r>
          <w:rPr>
            <w:u w:val="single"/>
          </w:rPr>
          <w:t>https://doi.org/10.1017/9781009325844.015</w:t>
        </w:r>
      </w:hyperlink>
      <w:r>
        <w:br/>
        <w:t xml:space="preserve">Alternative direct download: </w:t>
      </w:r>
      <w:hyperlink r:id="rId13">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4">
        <w:r>
          <w:rPr>
            <w:u w:val="single"/>
          </w:rPr>
          <w:t>www.ipcc.ch/report/ar6/wg2/downloads/report/IPCC_AR6_WGII_Chapter13_SM.pdf</w:t>
        </w:r>
      </w:hyperlink>
    </w:p>
    <w:p>
      <w:pPr>
        <w:pStyle w:val="Heading1"/>
      </w:pPr>
      <w:r>
        <w:t>Disclaimer:</w:t>
      </w:r>
    </w:p>
    <w:p>
      <w:r>
        <w:t>Het Embers Explorer project is niet gelieerd aan het IPCC, is niet goedgekeurd of geautoriseerd door het IPCC en is geen IPCC-product. De hierin gepresenteerde figuren zijn geen IPCC figuren, zijn niet onderworpen geweest aan formele IPCC beoordelingsprocessen en zijn niet goedgekeurd door het IPCC. Het IPCC is niet verantwoordelijk voor de nauwkeurigheid ervan.</w:t>
      </w:r>
    </w:p>
    <w:p>
      <w:r>
        <w:t>Er wordt echter alles aan gedaan om ervoor te zorgen dat gegevens die voortkomen uit IPCC-evaluaties hier accuraat worden weergegeven, met bronvermelding.</w:t>
      </w:r>
    </w:p>
    <w:p>
      <w:r>
        <w:t>Een archief van de database waarop deze app is gebaseerd is beschikbaar op Zenodo (</w:t>
      </w:r>
      <w:hyperlink r:id="rId15">
        <w:r>
          <w:rPr>
            <w:u w:val="single"/>
          </w:rPr>
          <w:t>doi.org/10.5281/zenodo.12626977</w:t>
        </w:r>
      </w:hyperlink>
      <w:r>
        <w:t>) onder de CC-BY 4.0 licentie. We hebben met het IPCC bevestigd dat deze gegevens op deze manier verspreid mogen worden.</w:t>
      </w:r>
    </w:p>
    <w:p>
      <w:r>
        <w:t>[This file was generated by the Embers Explorer 1.4.0 on 2025-08-06.]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43" TargetMode="External"/><Relationship Id="rId11" Type="http://schemas.openxmlformats.org/officeDocument/2006/relationships/hyperlink" Target="https://www.ipcc.ch/report/ar6/wg2/downloads/report/IPCC_AR6_WGII_Errata.pdf" TargetMode="External"/><Relationship Id="rId12" Type="http://schemas.openxmlformats.org/officeDocument/2006/relationships/hyperlink" Target="https://doi.org/10.1017/9781009325844.015" TargetMode="External"/><Relationship Id="rId13" Type="http://schemas.openxmlformats.org/officeDocument/2006/relationships/hyperlink" Target="https://www.ipcc.ch/report/ar6/wg2/downloads/report/IPCC_AR6_WGII_Chapter13.pdf" TargetMode="External"/><Relationship Id="rId14" Type="http://schemas.openxmlformats.org/officeDocument/2006/relationships/hyperlink" Target="https://www.ipcc.ch/report/ar6/wg2/downloads/report/IPCC_AR6_WGII_Chapter13_SM.pdf" TargetMode="External"/><Relationship Id="rId15"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