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Malaria - onvolledige aanpassing</w:t>
      </w:r>
    </w:p>
    <w:p>
      <w:pPr>
        <w:pStyle w:val="Warning"/>
      </w:pPr>
      <w:r>
        <w:t>Automatische vertaling</w:t>
      </w:r>
    </w:p>
    <w:tbl>
      <w:tblPr>
        <w:tblW w:type="auto" w:w="0"/>
        <w:tblLook w:firstColumn="1" w:firstRow="1" w:lastColumn="0" w:lastRow="0" w:noHBand="0" w:noVBand="1" w:val="04A0"/>
      </w:tblPr>
      <w:tblGrid>
        <w:gridCol w:w="4320"/>
        <w:gridCol w:w="4320"/>
      </w:tblGrid>
      <w:tr>
        <w:tc>
          <w:tcPr>
            <w:tcW w:type="dxa" w:w="6803"/>
          </w:tcPr>
          <w:p/>
          <w:p>
            <w:r>
              <w:t>(Beschrijving nog niet beschikbaar)</w:t>
            </w:r>
          </w:p>
          <w:p>
            <w:r>
              <w:t>Database id: 177 (</w:t>
            </w:r>
            <w:hyperlink r:id="rId10">
              <w:r>
                <w:rPr>
                  <w:u w:val="single"/>
                </w:rPr>
                <w:t>link</w:t>
              </w:r>
            </w:hyperlink>
            <w:r>
              <w:t>).</w:t>
            </w:r>
            <w:r>
              <w:t xml:space="preserve"> Scenario: Medium adaptation.</w:t>
            </w:r>
          </w:p>
          <w:p>
            <w:r>
              <w:t>Deze sintel is te vinden in de volgende figuur(s):</w:t>
              <w:br/>
            </w:r>
            <w:r>
              <w:t xml:space="preserve">Figure 7.9 of AR6-WGII-Chapter7; </w:t>
            </w:r>
            <w:r>
              <w:br/>
              <w:t>(samenvattingen worden hier in de regel niet vermeld)</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Overgangen: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1.5</w:t>
            </w:r>
          </w:p>
        </w:tc>
        <w:tc>
          <w:tcPr>
            <w:tcW w:type="dxa" w:w="2880"/>
            <w:vMerge/>
          </w:tcPr>
          <w:p/>
        </w:tc>
      </w:tr>
    </w:tbl>
    <w:p>
      <w:r>
        <w:t>(Informatie over deze overgang is nog niet beschikbaar)</w:t>
      </w:r>
    </w:p>
    <w:p>
      <w:pPr>
        <w:pStyle w:val="Heading1"/>
      </w:pPr>
      <w:r>
        <w:t>Overgangen: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2.0</w:t>
            </w:r>
          </w:p>
        </w:tc>
        <w:tc>
          <w:tcPr>
            <w:tcW w:type="dxa" w:w="2362"/>
            <w:vMerge w:val="restart"/>
            <w:vAlign w:val="center"/>
          </w:tcPr>
          <w:p>
            <w:r>
              <w:rPr>
                <w:i/>
              </w:rPr>
              <w:t>medium confidence</w:t>
            </w:r>
          </w:p>
        </w:tc>
      </w:tr>
      <w:tr>
        <w:tc>
          <w:tcPr>
            <w:tcW w:type="dxa" w:w="787"/>
          </w:tcPr>
          <w:p>
            <w:r>
              <w:t>max</w:t>
            </w:r>
          </w:p>
        </w:tc>
        <w:tc>
          <w:tcPr>
            <w:tcW w:type="dxa" w:w="787"/>
          </w:tcPr>
          <w:p>
            <w:r>
              <w:t>2.5</w:t>
            </w:r>
          </w:p>
        </w:tc>
        <w:tc>
          <w:tcPr>
            <w:tcW w:type="dxa" w:w="2880"/>
            <w:vMerge/>
          </w:tcPr>
          <w:p/>
        </w:tc>
      </w:tr>
    </w:tbl>
    <w:p>
      <w:r>
        <w:t>(Informatie over deze overgang is nog niet beschikbaar)</w:t>
      </w:r>
    </w:p>
    <w:p>
      <w:pPr>
        <w:pStyle w:val="Heading1"/>
      </w:pPr>
      <w:r>
        <w:t>Bronvermelding</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Referentie voor de brongegevens:</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Het Embers Explorer project is niet gelieerd aan het IPCC, is niet goedgekeurd of geautoriseerd door het IPCC en is geen IPCC-product. De hierin gepresenteerde figuren zijn geen IPCC figuren, zijn niet onderworpen geweest aan formele IPCC beoordelingsprocessen en zijn niet goedgekeurd door het IPCC. Het IPCC is niet verantwoordelijk voor de nauwkeurigheid ervan.</w:t>
      </w:r>
    </w:p>
    <w:p>
      <w:r>
        <w:t>Er wordt echter alles aan gedaan om ervoor te zorgen dat gegevens die voortkomen uit IPCC-evaluaties hier accuraat worden weergegeven, met bronvermelding.</w:t>
      </w:r>
    </w:p>
    <w:p>
      <w:r>
        <w:t>Een archief van de database waarop deze app is gebaseerd is beschikbaar op Zenodo (</w:t>
      </w:r>
      <w:hyperlink r:id="rId16">
        <w:r>
          <w:rPr>
            <w:u w:val="single"/>
          </w:rPr>
          <w:t>doi.org/10.5281/zenodo.12626977</w:t>
        </w:r>
      </w:hyperlink>
      <w:r>
        <w:t>) onder de CC-BY 4.0 licentie. We hebben met het IPCC bevestigd dat deze gegevens op deze manier verspreid mogen worden.</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7"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