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Noordpoolgebied: oceaan, zeeijs, permafrost - menselijke en natuurlijke systemen</w:t>
      </w:r>
    </w:p>
    <w:p>
      <w:pPr>
        <w:pStyle w:val="Warning"/>
      </w:pPr>
      <w:r>
        <w:t>Automatische vertaling</w:t>
      </w:r>
    </w:p>
    <w:tbl>
      <w:tblPr>
        <w:tblW w:type="auto" w:w="0"/>
        <w:tblLook w:firstColumn="1" w:firstRow="1" w:lastColumn="0" w:lastRow="0" w:noHBand="0" w:noVBand="1" w:val="04A0"/>
      </w:tblPr>
      <w:tblGrid>
        <w:gridCol w:w="4320"/>
        <w:gridCol w:w="4320"/>
      </w:tblGrid>
      <w:tr>
        <w:tc>
          <w:tcPr>
            <w:tcW w:type="dxa" w:w="6803"/>
          </w:tcPr>
          <w:p>
            <w:r>
              <w:t>Samenvatting van het beoordeelde risico:</w:t>
            </w:r>
          </w:p>
          <w:p>
            <w:r>
              <w:t>Arctische natuurlijke en menselijke systemen, waaronder toendra's op hoge breedtegraden, boreale bossen, permafrost en zee-ijs.&amp;nbsp; [3.4.13, 3.SM.3.3.6].</w:t>
            </w:r>
          </w:p>
          <w:p>
            <w:r>
              <w:t>Database id: 27 (</w:t>
            </w:r>
            <w:hyperlink r:id="rId10">
              <w:r>
                <w:rPr>
                  <w:u w:val="single"/>
                </w:rPr>
                <w:t>link</w:t>
              </w:r>
            </w:hyperlink>
            <w:r>
              <w:t>).</w:t>
            </w:r>
          </w:p>
          <w:p>
            <w:r>
              <w:t>Deze sintel is te vinden in de volgende figuur(s):</w:t>
              <w:br/>
            </w:r>
            <w:r>
              <w:t xml:space="preserve">Figure 3.20 of SR1.5-Chapter3; </w:t>
            </w:r>
            <w:r>
              <w:br/>
              <w:t>(samenvattingen worden hier in de regel niet vermeld)</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Overgangen: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0.0</w:t>
            </w:r>
          </w:p>
        </w:tc>
        <w:tc>
          <w:tcPr>
            <w:tcW w:type="dxa" w:w="2362"/>
            <w:vMerge w:val="restart"/>
            <w:vAlign w:val="center"/>
          </w:tcPr>
          <w:p>
            <w:r>
              <w:rPr>
                <w:i/>
              </w:rPr>
              <w:t>high confidence</w:t>
            </w:r>
          </w:p>
        </w:tc>
      </w:tr>
      <w:tr>
        <w:tc>
          <w:tcPr>
            <w:tcW w:type="dxa" w:w="787"/>
          </w:tcPr>
          <w:p>
            <w:r>
              <w:t>max</w:t>
            </w:r>
          </w:p>
        </w:tc>
        <w:tc>
          <w:tcPr>
            <w:tcW w:type="dxa" w:w="787"/>
          </w:tcPr>
          <w:p>
            <w:r>
              <w:t>0.7</w:t>
            </w:r>
          </w:p>
        </w:tc>
        <w:tc>
          <w:tcPr>
            <w:tcW w:type="dxa" w:w="2880"/>
            <w:vMerge/>
          </w:tcPr>
          <w:p/>
        </w:tc>
      </w:tr>
    </w:tbl>
    <w:p>
      <w:r>
        <w:t>De toename van het smelten van het zee-ijs in de zomer werd vastgesteld en toegeschreven aan klimaatverandering tegen het jaar 2000 (wat overeenkomt met een opwarming van 0,7°C). Vooral de toendra's op grote hoogte en de boreale bossen lopen gevaar, en houtachtige struiken dringen nu al de toendra's binnen. [3.4.13, 3.SM.3.3.6]</w:t>
      </w:r>
    </w:p>
    <w:p>
      <w:pPr>
        <w:pStyle w:val="Heading1"/>
      </w:pPr>
      <w:r>
        <w:t>Overgangen: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0.7</w:t>
            </w:r>
          </w:p>
        </w:tc>
        <w:tc>
          <w:tcPr>
            <w:tcW w:type="dxa" w:w="2362"/>
            <w:vMerge w:val="restart"/>
            <w:vAlign w:val="center"/>
          </w:tcPr>
          <w:p>
            <w:r>
              <w:rPr>
                <w:i/>
              </w:rPr>
              <w:t>high confidence</w:t>
            </w:r>
          </w:p>
        </w:tc>
      </w:tr>
      <w:tr>
        <w:tc>
          <w:tcPr>
            <w:tcW w:type="dxa" w:w="787"/>
          </w:tcPr>
          <w:p>
            <w:r>
              <w:t>max</w:t>
            </w:r>
          </w:p>
        </w:tc>
        <w:tc>
          <w:tcPr>
            <w:tcW w:type="dxa" w:w="787"/>
          </w:tcPr>
          <w:p>
            <w:r>
              <w:t>1.5</w:t>
            </w:r>
          </w:p>
        </w:tc>
        <w:tc>
          <w:tcPr>
            <w:tcW w:type="dxa" w:w="2880"/>
            <w:vMerge/>
          </w:tcPr>
          <w:p/>
        </w:tc>
      </w:tr>
    </w:tbl>
    <w:p>
      <w:r>
        <w:t>Als gevolg van polaire amplificatie zullen er waarschijnlijk biomechanische verschuivingen (belangrijkste ecosysteemtype) plaatsvinden in het Noordpoolgebied, met een toename in brandfrequentie, afbraak van permafrost en boombedekking bij een opwarming van 1,5°C [3.5.4.2].&amp;nbsp; Bij een opwarming van 1,5°C wordt een ijsvrije Noordelijke IJszee onwaarschijnlijk geacht [3.4.13].</w:t>
      </w:r>
    </w:p>
    <w:p>
      <w:pPr>
        <w:pStyle w:val="Heading1"/>
      </w:pPr>
      <w:r>
        <w:t>Overgangen: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1.5</w:t>
            </w:r>
          </w:p>
        </w:tc>
        <w:tc>
          <w:tcPr>
            <w:tcW w:type="dxa" w:w="2362"/>
            <w:vMerge w:val="restart"/>
            <w:vAlign w:val="center"/>
          </w:tcPr>
          <w:p>
            <w:r>
              <w:rPr>
                <w:i/>
              </w:rPr>
              <w:t>high confidence</w:t>
            </w:r>
          </w:p>
        </w:tc>
      </w:tr>
      <w:tr>
        <w:tc>
          <w:tcPr>
            <w:tcW w:type="dxa" w:w="787"/>
          </w:tcPr>
          <w:p>
            <w:r>
              <w:t>max</w:t>
            </w:r>
          </w:p>
        </w:tc>
        <w:tc>
          <w:tcPr>
            <w:tcW w:type="dxa" w:w="787"/>
          </w:tcPr>
          <w:p>
            <w:r>
              <w:t>2.0</w:t>
            </w:r>
          </w:p>
        </w:tc>
        <w:tc>
          <w:tcPr>
            <w:tcW w:type="dxa" w:w="2880"/>
            <w:vMerge/>
          </w:tcPr>
          <w:p/>
        </w:tc>
      </w:tr>
    </w:tbl>
    <w:p>
      <w:r>
        <w:t>Bij een opwarming van 2°C zal de Noordelijke IJszee waarschijnlijk ijsvrij zijn en zal dit unieke ecosysteem zich naar verwachting niet kunnen aanpassen [3.4.13]. Verdere versterking van bovenstaande veranderingen wordt verwacht bij een opwarming van 2°C [3.5.4.2]. Beperking van de opwarming tot 1,5°C zou het verlies van een geschat permafrostgebied van 2 miljoen km^2 in de komende eeuwen voorkomen in vergelijking met 2°C [3.SM.3.3.6].</w:t>
      </w:r>
    </w:p>
    <w:p>
      <w:pPr>
        <w:pStyle w:val="Heading1"/>
      </w:pPr>
      <w:r>
        <w:t>Bijkomende formatie</w:t>
      </w:r>
    </w:p>
    <w:p>
      <w:r>
        <w:t>Het rapport merkt ook op dat "dooiende permafrost en veranderende weerpatronen naar verwachting steeds meer invloed zullen hebben op mensen, infrastructuur en industrieën in het Noordpoolgebied" (paragraaf 3.5.4.2).</w:t>
      </w:r>
    </w:p>
    <w:p>
      <w:pPr>
        <w:pStyle w:val="Heading1"/>
      </w:pPr>
      <w:r>
        <w:t>Bronvermelding</w:t>
      </w:r>
    </w:p>
    <w:p>
      <w:r>
        <w:t>3.SM.3.3.6; 3.4.13; 3.5.4.2</w:t>
      </w:r>
    </w:p>
    <w:p>
      <w:pPr>
        <w:pStyle w:val="Heading1"/>
      </w:pPr>
      <w:r>
        <w:t>Referentie voor de brongegevens:</w:t>
      </w:r>
    </w:p>
    <w:p>
      <w:r>
        <w:t xml:space="preserve">Hoegh-Guldberg, O., D. Jacob, M. Taylor, M. Bindi, S. Brown, I. Camilloni, A. Diedhiou, R. Djalante, K.L. Ebi, F. Engelbrecht, J. Guiot, Y. Hijioka, S. Mehrotra, A. Payne, S.I. Seneviratne, A. Thomas, R. Warren, and G. Zhou, 2018: Impacts of 1.5ºC Global Warming on Natural and Human Systems. In: </w:t>
      </w:r>
      <w:r>
        <w:rPr>
          <w:i/>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Cambridge University Press, Cambridge, UK and New York, NY, USA, pp. 175-312. </w:t>
      </w:r>
      <w:hyperlink r:id="rId11">
        <w:r>
          <w:rPr>
            <w:u w:val="single"/>
          </w:rPr>
          <w:t>https://doi.org/10.1017/9781009157940.005</w:t>
        </w:r>
      </w:hyperlink>
      <w:r>
        <w:br/>
        <w:t xml:space="preserve">Alternative direct download: </w:t>
      </w:r>
      <w:hyperlink r:id="rId12">
        <w:r>
          <w:rPr>
            <w:u w:val="single"/>
          </w:rPr>
          <w:t>ipcc.ch/site/assets/uploads/sites/2/2022/06/SR15_Chapter_3_HR.pdf</w:t>
        </w:r>
      </w:hyperlink>
    </w:p>
    <w:p>
      <w:r>
        <w:t xml:space="preserve">Hoegh-Guldberg, O., D. Jacob, M. Taylor, M. Bindi, S. Brown, I. Camilloni, A. Diedhiou, R. Djalante, K.L. Ebi, F. Engelbrecht, J. Guiot, Y. Hijioka, S. Mehrotra, A. Payne, S.I. Seneviratne, A. Thomas, R. Warren, and G. Zhou, 2018: Impacts of 1.5ºC Global Warming on Natural and Human Systems Supplementary Material. In: </w:t>
      </w:r>
      <w:r>
        <w:rPr>
          <w:i/>
        </w:rPr>
        <w:t>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w:t>
      </w:r>
      <w:r>
        <w:t xml:space="preserve"> [Masson-Delmotte, V., P. Zhai, H.-O. Pörtner, D. Roberts, J. Skea, P.R. Shukla, A. Pirani, W. Moufouma-Okia, C. Péan, R. Pidcock, S. Connors, J.B.R. Matthews, Y. Chen, X. Zhou, M.I. Gomis, E. Lonnoy, T. Maycock, M. Tignor, and T. Waterfield (eds.)], url: </w:t>
      </w:r>
      <w:hyperlink r:id="rId13">
        <w:r>
          <w:rPr>
            <w:u w:val="single"/>
          </w:rPr>
          <w:t>ipcc.ch/site/assets/uploads/sites/2/2019/09/SR15_3SM_High_Res.pdf</w:t>
        </w:r>
      </w:hyperlink>
    </w:p>
    <w:p>
      <w:pPr>
        <w:pStyle w:val="Heading1"/>
      </w:pPr>
      <w:r>
        <w:t>Disclaimer:</w:t>
      </w:r>
    </w:p>
    <w:p>
      <w:r>
        <w:t>Het Embers Explorer project is niet gelieerd aan het IPCC, is niet goedgekeurd of geautoriseerd door het IPCC en is geen IPCC-product. De hierin gepresenteerde figuren zijn geen IPCC figuren, zijn niet onderworpen geweest aan formele IPCC beoordelingsprocessen en zijn niet goedgekeurd door het IPCC. Het IPCC is niet verantwoordelijk voor de nauwkeurigheid ervan.</w:t>
      </w:r>
    </w:p>
    <w:p>
      <w:r>
        <w:t>Er wordt echter alles aan gedaan om ervoor te zorgen dat gegevens die voortkomen uit IPCC-evaluaties hier accuraat worden weergegeven, met bronvermelding.</w:t>
      </w:r>
    </w:p>
    <w:p>
      <w:r>
        <w:t>Een archief van de database waarop deze app is gebaseerd is beschikbaar op Zenodo (</w:t>
      </w:r>
      <w:hyperlink r:id="rId14">
        <w:r>
          <w:rPr>
            <w:u w:val="single"/>
          </w:rPr>
          <w:t>doi.org/10.5281/zenodo.12626977</w:t>
        </w:r>
      </w:hyperlink>
      <w:r>
        <w:t>) onder de CC-BY 4.0 licentie. We hebben met het IPCC bevestigd dat deze gegevens op deze manier verspreid mogen worden.</w:t>
      </w:r>
    </w:p>
    <w:p>
      <w:r>
        <w:t>[This file was generated by the Embers Explorer 1.4.1 on 2026-04-21.]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27" TargetMode="External"/><Relationship Id="rId11" Type="http://schemas.openxmlformats.org/officeDocument/2006/relationships/hyperlink" Target="https://doi.org/10.1017/9781009157940.005" TargetMode="External"/><Relationship Id="rId12" Type="http://schemas.openxmlformats.org/officeDocument/2006/relationships/hyperlink" Target="https://ipcc.ch/site/assets/uploads/sites/2/2022/06/SR15_Chapter_3_HR.pdf" TargetMode="External"/><Relationship Id="rId13" Type="http://schemas.openxmlformats.org/officeDocument/2006/relationships/hyperlink" Target="https://ipcc.ch/site/assets/uploads/sites/2/2019/09/SR15_3SM_High_Res.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