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Ecosystemen van zandstranden</w:t>
      </w:r>
    </w:p>
    <w:p>
      <w:pPr>
        <w:pStyle w:val="Warning"/>
      </w:pPr>
      <w:r>
        <w:t>Automatische vertaling</w:t>
      </w:r>
    </w:p>
    <w:tbl>
      <w:tblPr>
        <w:tblW w:type="auto" w:w="0"/>
        <w:tblLook w:firstColumn="1" w:firstRow="1" w:lastColumn="0" w:lastRow="0" w:noHBand="0" w:noVBand="1" w:val="04A0"/>
      </w:tblPr>
      <w:tblGrid>
        <w:gridCol w:w="4320"/>
        <w:gridCol w:w="4320"/>
      </w:tblGrid>
      <w:tr>
        <w:tc>
          <w:tcPr>
            <w:tcW w:type="dxa" w:w="6803"/>
          </w:tcPr>
          <w:p>
            <w:r>
              <w:t>Samenvatting van het beoordeelde risico:</w:t>
            </w:r>
          </w:p>
          <w:p>
            <w:r>
              <w:t>Toenemend verlies van erosie/sediment door stormen, golven en SLR, evenals de effecten van opwarming en verzuring op soorten (migratie, vermindering van lichaamsgrootte, sterfte). Veranderingen in strandmorfologie, scheuren in duinen, verlies van vegetatie, vermindering van strandoppervlak en nestplaatsen voor schildpadden. Zandstranden zijn zeer dynamische systemen (bijv. door sedimentverplaatsing en landwaartse uitbreiding), met een natuurlijk aanpassingsvermogen, onder andere door de herverdeling van soorten; menselijke activiteiten beperken deze natuurlijke aanpassing echter, met name door de landwaartse migratie te beperken ('coastal squeeze'). [5.ES, 5.3.7, Tabel SM5.8a]</w:t>
            </w:r>
          </w:p>
          <w:p>
            <w:r>
              <w:t>Database id: 67 (</w:t>
            </w:r>
            <w:hyperlink r:id="rId10">
              <w:r>
                <w:rPr>
                  <w:u w:val="single"/>
                </w:rPr>
                <w:t>link</w:t>
              </w:r>
            </w:hyperlink>
            <w:r>
              <w:t>).</w:t>
            </w:r>
          </w:p>
          <w:p>
            <w:r>
              <w:t>Deze sintel is te vinden in de volgende figuur(s):</w:t>
              <w:br/>
            </w:r>
            <w:r>
              <w:t xml:space="preserve">Figure 5-16 of SROCC-Chapter5; </w:t>
            </w:r>
            <w:r>
              <w:br/>
              <w:t>(samenvattingen worden hier in de regel niet vermeld)</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Overgangen: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0.9</w:t>
            </w:r>
          </w:p>
        </w:tc>
        <w:tc>
          <w:tcPr>
            <w:tcW w:type="dxa" w:w="2362"/>
            <w:vMerge w:val="restart"/>
            <w:vAlign w:val="center"/>
          </w:tcPr>
          <w:p>
            <w:r>
              <w:rPr>
                <w:i/>
              </w:rPr>
              <w:t>medium confidence</w:t>
            </w:r>
          </w:p>
        </w:tc>
      </w:tr>
      <w:tr>
        <w:tc>
          <w:tcPr>
            <w:tcW w:type="dxa" w:w="787"/>
          </w:tcPr>
          <w:p>
            <w:r>
              <w:t>max</w:t>
            </w:r>
          </w:p>
        </w:tc>
        <w:tc>
          <w:tcPr>
            <w:tcW w:type="dxa" w:w="787"/>
          </w:tcPr>
          <w:p>
            <w:r>
              <w:t>1.8</w:t>
            </w:r>
          </w:p>
        </w:tc>
        <w:tc>
          <w:tcPr>
            <w:tcW w:type="dxa" w:w="2880"/>
            <w:vMerge/>
          </w:tcPr>
          <w:p/>
        </w:tc>
      </w:tr>
    </w:tbl>
    <w:p>
      <w:r>
        <w:t>Binnen een scenario met lage emissies zal het risico naar verwachting slechts iets hoger worden dan nu. [5.3.7]</w:t>
      </w:r>
    </w:p>
    <w:p>
      <w:pPr>
        <w:pStyle w:val="Heading1"/>
      </w:pPr>
      <w:r>
        <w:t>Overgangen: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2.3</w:t>
            </w:r>
          </w:p>
        </w:tc>
        <w:tc>
          <w:tcPr>
            <w:tcW w:type="dxa" w:w="2362"/>
            <w:vMerge w:val="restart"/>
            <w:vAlign w:val="center"/>
          </w:tcPr>
          <w:p>
            <w:r>
              <w:rPr>
                <w:i/>
              </w:rPr>
              <w:t>low confidence</w:t>
            </w:r>
          </w:p>
        </w:tc>
      </w:tr>
      <w:tr>
        <w:tc>
          <w:tcPr>
            <w:tcW w:type="dxa" w:w="787"/>
          </w:tcPr>
          <w:p>
            <w:r>
              <w:t>max</w:t>
            </w:r>
          </w:p>
        </w:tc>
        <w:tc>
          <w:tcPr>
            <w:tcW w:type="dxa" w:w="787"/>
          </w:tcPr>
          <w:p>
            <w:r>
              <w:t>3.0</w:t>
            </w:r>
          </w:p>
        </w:tc>
        <w:tc>
          <w:tcPr>
            <w:tcW w:type="dxa" w:w="2880"/>
            <w:vMerge/>
          </w:tcPr>
          <w:p/>
        </w:tc>
      </w:tr>
    </w:tbl>
    <w:p>
      <w:r>
        <w:t>Het risico van het verlies van habitats voor flora en fauna zal naar verwachting tot een hoog niveau stijgen in een scenario met hoge emissies tegen het einde van de 21e eeuw [5.3.7].</w:t>
      </w:r>
    </w:p>
    <w:p>
      <w:pPr>
        <w:pStyle w:val="Heading1"/>
      </w:pPr>
      <w:r>
        <w:t>Bronvermelding</w:t>
      </w:r>
    </w:p>
    <w:p>
      <w:r>
        <w:t>5.3.3, 5.3.7, Table SM5.8a, Table SM5.8b</w:t>
      </w:r>
    </w:p>
    <w:p>
      <w:pPr>
        <w:pStyle w:val="Heading1"/>
      </w:pPr>
      <w:r>
        <w:t>Referentie voor de brongegevens:</w:t>
      </w:r>
    </w:p>
    <w:p>
      <w:r>
        <w:t xml:space="preserve">Bindoff, N.L., W.W.L. Cheung, J.G. Kairo, J. Arístegui, V.A. Guinder, R. Hallberg, N. Hilmi, N. Jiao, M.S. Karim, L. Levin, S. O’Donoghue, S.R. Purca Cuicapusa, B. Rinkevich, T. Suga, A. Tagliabue, and P. Williamson, 2019: Changing Ocean, Marine Ecosystems, and Dependent Communities.. In: </w:t>
      </w:r>
      <w:r>
        <w:rPr>
          <w:i/>
        </w:rPr>
        <w:t>IPCC Special Report on the Ocean and Cryosphere in a Changing Climate</w:t>
      </w:r>
      <w:r>
        <w:t xml:space="preserve"> [H.-O. Pörtner, D.C. Roberts, V. Masson-Delmotte, P. Zhai, M. Tignor, E. Poloczanska, K. Mintenbeck, A. Alegría, M. Nicolai, A. Okem, J. Petzold, B. Rama, N.M. Weyer (eds.)]. Cambridge University Press, Cambridge, UK and New York, NY, USA, pp. 447-587. </w:t>
      </w:r>
      <w:hyperlink r:id="rId11">
        <w:r>
          <w:rPr>
            <w:u w:val="single"/>
          </w:rPr>
          <w:t>https://doi.org/10.1017/9781009157964.007</w:t>
        </w:r>
      </w:hyperlink>
      <w:r>
        <w:br/>
        <w:t xml:space="preserve">Alternative direct download: </w:t>
      </w:r>
      <w:hyperlink r:id="rId12">
        <w:r>
          <w:rPr>
            <w:u w:val="single"/>
          </w:rPr>
          <w:t>www.ipcc.ch/site/assets/uploads/sites/3/2022/03/07_SROCC_Ch05_FINAL.pdf</w:t>
        </w:r>
      </w:hyperlink>
    </w:p>
    <w:p>
      <w:r>
        <w:t xml:space="preserve">Bindoff, N.L., W.W.L. Cheung, J.G. Kairo, J. Arístegui, V.A. Guinder, R. Hallberg, N. Hilmi, N. Jiao, M.S. Karim, L. Levin, S. O’Donoghue, S.R. Purca Cuicapusa, B. Rinkevich, T. Suga, A. Tagliabue, and P. Williamson, 2019: Changing Ocean, Marine Ecosystems, and Dependent Communities. Supplementary Material. In: </w:t>
      </w:r>
      <w:r>
        <w:rPr>
          <w:i/>
        </w:rPr>
        <w:t>IPCC Special Report on the Ocean and Cryosphere in a Changing Climate</w:t>
      </w:r>
      <w:r>
        <w:t xml:space="preserve"> [H.-O. Pörtner, D.C. Roberts, V. Masson-Delmotte, P. Zhai, M. Tignor, E. Poloczanska, K. Mintenbeck, A. Alegría, M. Nicolai, A. Okem, J. Petzold, B. Rama, N.M. Weyer (eds.)], url: </w:t>
      </w:r>
      <w:hyperlink r:id="rId13">
        <w:r>
          <w:rPr>
            <w:u w:val="single"/>
          </w:rPr>
          <w:t>www.ipcc.ch/site/assets/uploads/sites/3/2022/03/SROCC_Ch05-SM_FINAL.pdf</w:t>
        </w:r>
      </w:hyperlink>
    </w:p>
    <w:p>
      <w:pPr>
        <w:pStyle w:val="Heading1"/>
      </w:pPr>
      <w:r>
        <w:t>Disclaimer:</w:t>
      </w:r>
    </w:p>
    <w:p>
      <w:r>
        <w:t>Het Embers Explorer project is niet gelieerd aan het IPCC, is niet goedgekeurd of geautoriseerd door het IPCC en is geen IPCC-product. De hierin gepresenteerde figuren zijn geen IPCC figuren, zijn niet onderworpen geweest aan formele IPCC beoordelingsprocessen en zijn niet goedgekeurd door het IPCC. Het IPCC is niet verantwoordelijk voor de nauwkeurigheid ervan.</w:t>
      </w:r>
    </w:p>
    <w:p>
      <w:r>
        <w:t>Er wordt echter alles aan gedaan om ervoor te zorgen dat gegevens die voortkomen uit IPCC-evaluaties hier accuraat worden weergegeven, met bronvermelding.</w:t>
      </w:r>
    </w:p>
    <w:p>
      <w:r>
        <w:t>Een archief van de database waarop deze app is gebaseerd is beschikbaar op Zenodo (</w:t>
      </w:r>
      <w:hyperlink r:id="rId14">
        <w:r>
          <w:rPr>
            <w:u w:val="single"/>
          </w:rPr>
          <w:t>doi.org/10.5281/zenodo.12626977</w:t>
        </w:r>
      </w:hyperlink>
      <w:r>
        <w:t>) onder de CC-BY 4.0 licentie. We hebben met het IPCC bevestigd dat deze gegevens op deze manier verspreid mogen worden.</w:t>
      </w:r>
    </w:p>
    <w:p>
      <w:r>
        <w:t>[This file was generated by the Embers Explorer 1.4.0 on 2025-08-05.]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67" TargetMode="External"/><Relationship Id="rId11" Type="http://schemas.openxmlformats.org/officeDocument/2006/relationships/hyperlink" Target="https://doi.org/10.1017/9781009157964.007" TargetMode="External"/><Relationship Id="rId12" Type="http://schemas.openxmlformats.org/officeDocument/2006/relationships/hyperlink" Target="https://www.ipcc.ch/site/assets/uploads/sites/3/2022/03/07_SROCC_Ch05_FINAL.pdf" TargetMode="External"/><Relationship Id="rId13" Type="http://schemas.openxmlformats.org/officeDocument/2006/relationships/hyperlink" Target="https://www.ipcc.ch/site/assets/uploads/sites/3/2022/03/SROCC_Ch05-SM_FINAL.pdf" TargetMode="External"/><Relationship Id="rId14"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