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Ecosystemen van rotsachtige kusten</w:t>
      </w:r>
    </w:p>
    <w:p>
      <w:pPr>
        <w:pStyle w:val="Warning"/>
      </w:pPr>
      <w:r>
        <w:t>Automatische vertaling</w:t>
      </w:r>
    </w:p>
    <w:tbl>
      <w:tblPr>
        <w:tblW w:type="auto" w:w="0"/>
        <w:tblLook w:firstColumn="1" w:firstRow="1" w:lastColumn="0" w:lastRow="0" w:noHBand="0" w:noVBand="1" w:val="04A0"/>
      </w:tblPr>
      <w:tblGrid>
        <w:gridCol w:w="4320"/>
        <w:gridCol w:w="4320"/>
      </w:tblGrid>
      <w:tr>
        <w:tc>
          <w:tcPr>
            <w:tcW w:type="dxa" w:w="6803"/>
          </w:tcPr>
          <w:p>
            <w:r>
              <w:t>Samenvatting van het beoordeelde risico:</w:t>
            </w:r>
          </w:p>
          <w:p>
            <w:r>
              <w:t>Ecosystemen van rotskusten strekken zich uit over de intergetijdenzones en ondiepe subtijdenzones van de gematigde kusten van de wereld en worden typisch gedomineerd door kalkmosselen of zeewieren (macroalgen). De grote gevoeligheid van sessiele organismen (die op één plaats vastzitten, bijv. zeepokken, mosselen) voor extreme temperatuursgebeurtenissen (bijv. massale sterfte en drastisch biodiversiteitsverlies van mosselbanken) en voor verzuring geeft een hoge mate van zekerheid dat soorten van rotskusten een groot risico lopen op veranderingen in verspreiding en abundantie. Meer in het algemeen worden de biodiversiteit, structuur en werking van ecosystemen van rotskusten bedreigd door opwarming, verzuring, zeespiegelstijging en extreme gebeurtenissen. [Tabel SM5.8a, 5.3.5]</w:t>
            </w:r>
          </w:p>
          <w:p>
            <w:r>
              <w:t>Database id: 68 (</w:t>
            </w:r>
            <w:hyperlink r:id="rId10">
              <w:r>
                <w:rPr>
                  <w:u w:val="single"/>
                </w:rPr>
                <w:t>link</w:t>
              </w:r>
            </w:hyperlink>
            <w:r>
              <w:t>).</w:t>
            </w:r>
          </w:p>
          <w:p>
            <w:r>
              <w:t>Deze sintel is te vinden in de volgende figuur(s):</w:t>
              <w:br/>
            </w:r>
            <w:r>
              <w:t xml:space="preserve">Figure 5-16 of SROCC-Chapter5; </w:t>
            </w:r>
            <w:r>
              <w:br/>
              <w:t>(samenvattingen worden hier in de regel niet vermeld)</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Overgangen: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0.8</w:t>
            </w:r>
          </w:p>
        </w:tc>
        <w:tc>
          <w:tcPr>
            <w:tcW w:type="dxa" w:w="2362"/>
            <w:vMerge w:val="restart"/>
            <w:vAlign w:val="center"/>
          </w:tcPr>
          <w:p>
            <w:r>
              <w:rPr>
                <w:i/>
              </w:rPr>
              <w:t>medium confidence</w:t>
            </w:r>
          </w:p>
        </w:tc>
      </w:tr>
      <w:tr>
        <w:tc>
          <w:tcPr>
            <w:tcW w:type="dxa" w:w="787"/>
          </w:tcPr>
          <w:p>
            <w:r>
              <w:t>max</w:t>
            </w:r>
          </w:p>
        </w:tc>
        <w:tc>
          <w:tcPr>
            <w:tcW w:type="dxa" w:w="787"/>
          </w:tcPr>
          <w:p>
            <w:r>
              <w:t>1.3</w:t>
            </w:r>
          </w:p>
        </w:tc>
        <w:tc>
          <w:tcPr>
            <w:tcW w:type="dxa" w:w="2880"/>
            <w:vMerge/>
          </w:tcPr>
          <w:p/>
        </w:tc>
      </w:tr>
    </w:tbl>
    <w:p>
      <w:r>
        <w:t>Plaatselijke uitstervingen aan de equatoriale of warme rand van het verspreidingsgebied van soorten worden in toenemende mate toegeschreven aan klimaatverandering. Ecosystemen van rotskusten in getijdengebieden lopen momenteel een matig risico. [5.3.5]</w:t>
      </w:r>
    </w:p>
    <w:p>
      <w:pPr>
        <w:pStyle w:val="Heading1"/>
      </w:pPr>
      <w:r>
        <w:t>Overgangen: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1.8</w:t>
            </w:r>
          </w:p>
        </w:tc>
        <w:tc>
          <w:tcPr>
            <w:tcW w:type="dxa" w:w="2362"/>
            <w:vMerge w:val="restart"/>
            <w:vAlign w:val="center"/>
          </w:tcPr>
          <w:p>
            <w:r>
              <w:rPr>
                <w:i/>
              </w:rPr>
              <w:t>medium confidence</w:t>
            </w:r>
          </w:p>
        </w:tc>
      </w:tr>
      <w:tr>
        <w:tc>
          <w:tcPr>
            <w:tcW w:type="dxa" w:w="787"/>
          </w:tcPr>
          <w:p>
            <w:r>
              <w:t>max</w:t>
            </w:r>
          </w:p>
        </w:tc>
        <w:tc>
          <w:tcPr>
            <w:tcW w:type="dxa" w:w="787"/>
          </w:tcPr>
          <w:p>
            <w:r>
              <w:t>2.7</w:t>
            </w:r>
          </w:p>
        </w:tc>
        <w:tc>
          <w:tcPr>
            <w:tcW w:type="dxa" w:w="2880"/>
            <w:vMerge/>
          </w:tcPr>
          <w:p/>
        </w:tc>
      </w:tr>
    </w:tbl>
    <w:p>
      <w:r>
        <w:t>(Informatie over deze overgang is nog niet beschikbaar)</w:t>
      </w:r>
    </w:p>
    <w:p>
      <w:pPr>
        <w:pStyle w:val="Heading1"/>
      </w:pPr>
      <w:r>
        <w:t>Overgangen: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2.9</w:t>
            </w:r>
          </w:p>
        </w:tc>
        <w:tc>
          <w:tcPr>
            <w:tcW w:type="dxa" w:w="2362"/>
            <w:vMerge w:val="restart"/>
            <w:vAlign w:val="center"/>
          </w:tcPr>
          <w:p>
            <w:r>
              <w:rPr>
                <w:i/>
              </w:rPr>
              <w:t>low confidence</w:t>
            </w:r>
          </w:p>
        </w:tc>
      </w:tr>
      <w:tr>
        <w:tc>
          <w:tcPr>
            <w:tcW w:type="dxa" w:w="787"/>
          </w:tcPr>
          <w:p>
            <w:r>
              <w:t>max</w:t>
            </w:r>
          </w:p>
        </w:tc>
        <w:tc>
          <w:tcPr>
            <w:tcW w:type="dxa" w:w="787"/>
          </w:tcPr>
          <w:p>
            <w:r>
              <w:t>3.4</w:t>
            </w:r>
          </w:p>
        </w:tc>
        <w:tc>
          <w:tcPr>
            <w:tcW w:type="dxa" w:w="2880"/>
            <w:vMerge/>
          </w:tcPr>
          <w:p/>
        </w:tc>
      </w:tr>
    </w:tbl>
    <w:p>
      <w:r>
        <w:t>Rotskusten behoren tot de kustecosystemen waarvan verwacht wordt dat ze een zeer hoog risico zullen lopen bij hoge scenario's voor klimaatverandering. [5.3.7]</w:t>
      </w:r>
    </w:p>
    <w:p>
      <w:pPr>
        <w:pStyle w:val="Heading1"/>
      </w:pPr>
      <w:r>
        <w:t>Bijkomende formatie</w:t>
      </w:r>
    </w:p>
    <w:p>
      <w:r>
        <w:t>Hoofdstuk 5 (met name 5.3.5) bevat veel meer informatie over ecosystemen van rotskusten dan we hier in tekst zouden kunnen samenvatten; deze risico's lijken goed bestudeerd.</w:t>
      </w:r>
    </w:p>
    <w:p>
      <w:pPr>
        <w:pStyle w:val="Heading1"/>
      </w:pPr>
      <w:r>
        <w:t>Bronvermelding</w:t>
      </w:r>
    </w:p>
    <w:p>
      <w:r>
        <w:t>5.3.5, 5.3.7, Table SM5.8a</w:t>
      </w:r>
    </w:p>
    <w:p>
      <w:pPr>
        <w:pStyle w:val="Heading1"/>
      </w:pPr>
      <w:r>
        <w:t>Referentie voor de brongegevens:</w:t>
      </w:r>
    </w:p>
    <w:p>
      <w:r>
        <w:t xml:space="preserve">Bindoff, N.L., W.W.L. Cheung, J.G. Kairo, J. Arístegui, V.A. Guinder, R. Hallberg, N. Hilmi, N. Jiao, M.S. Karim, L. Levin, S. O’Donoghue, S.R. Purca Cuicapusa, B. Rinkevich, T. Suga, A. Tagliabue, and P. Williamson, 2019: Changing Ocean, Marine Ecosystems, and Dependent Communities.. In: </w:t>
      </w:r>
      <w:r>
        <w:rPr>
          <w:i/>
        </w:rPr>
        <w:t>IPCC Special Report on the Ocean and Cryosphere in a Changing Climate</w:t>
      </w:r>
      <w:r>
        <w:t xml:space="preserve"> [H.-O. Pörtner, D.C. Roberts, V. Masson-Delmotte, P. Zhai, M. Tignor, E. Poloczanska, K. Mintenbeck, A. Alegría, M. Nicolai, A. Okem, J. Petzold, B. Rama, N.M. Weyer (eds.)]. Cambridge University Press, Cambridge, UK and New York, NY, USA, pp. 447-587. </w:t>
      </w:r>
      <w:hyperlink r:id="rId11">
        <w:r>
          <w:rPr>
            <w:u w:val="single"/>
          </w:rPr>
          <w:t>https://doi.org/10.1017/9781009157964.007</w:t>
        </w:r>
      </w:hyperlink>
      <w:r>
        <w:br/>
        <w:t xml:space="preserve">Alternative direct download: </w:t>
      </w:r>
      <w:hyperlink r:id="rId12">
        <w:r>
          <w:rPr>
            <w:u w:val="single"/>
          </w:rPr>
          <w:t>www.ipcc.ch/site/assets/uploads/sites/3/2022/03/07_SROCC_Ch05_FINAL.pdf</w:t>
        </w:r>
      </w:hyperlink>
    </w:p>
    <w:p>
      <w:r>
        <w:t xml:space="preserve">Bindoff, N.L., W.W.L. Cheung, J.G. Kairo, J. Arístegui, V.A. Guinder, R. Hallberg, N. Hilmi, N. Jiao, M.S. Karim, L. Levin, S. O’Donoghue, S.R. Purca Cuicapusa, B. Rinkevich, T. Suga, A. Tagliabue, and P. Williamson, 2019: Changing Ocean, Marine Ecosystems, and Dependent Communities. Supplementary Material. In: </w:t>
      </w:r>
      <w:r>
        <w:rPr>
          <w:i/>
        </w:rPr>
        <w:t>IPCC Special Report on the Ocean and Cryosphere in a Changing Climate</w:t>
      </w:r>
      <w:r>
        <w:t xml:space="preserve"> [H.-O. Pörtner, D.C. Roberts, V. Masson-Delmotte, P. Zhai, M. Tignor, E. Poloczanska, K. Mintenbeck, A. Alegría, M. Nicolai, A. Okem, J. Petzold, B. Rama, N.M. Weyer (eds.)], url: </w:t>
      </w:r>
      <w:hyperlink r:id="rId13">
        <w:r>
          <w:rPr>
            <w:u w:val="single"/>
          </w:rPr>
          <w:t>www.ipcc.ch/site/assets/uploads/sites/3/2022/03/SROCC_Ch05-SM_FINAL.pdf</w:t>
        </w:r>
      </w:hyperlink>
    </w:p>
    <w:p>
      <w:pPr>
        <w:pStyle w:val="Heading1"/>
      </w:pPr>
      <w:r>
        <w:t>Disclaimer:</w:t>
      </w:r>
    </w:p>
    <w:p>
      <w:r>
        <w:t>Het Embers Explorer project is niet gelieerd aan het IPCC, is niet goedgekeurd of geautoriseerd door het IPCC en is geen IPCC-product. De hierin gepresenteerde figuren zijn geen IPCC figuren, zijn niet onderworpen geweest aan formele IPCC beoordelingsprocessen en zijn niet goedgekeurd door het IPCC. Het IPCC is niet verantwoordelijk voor de nauwkeurigheid ervan.</w:t>
      </w:r>
    </w:p>
    <w:p>
      <w:r>
        <w:t>Er wordt echter alles aan gedaan om ervoor te zorgen dat gegevens die voortkomen uit IPCC-evaluaties hier accuraat worden weergegeven, met bronvermelding.</w:t>
      </w:r>
    </w:p>
    <w:p>
      <w:r>
        <w:t>Een archief van de database waarop deze app is gebaseerd is beschikbaar op Zenodo (</w:t>
      </w:r>
      <w:hyperlink r:id="rId14">
        <w:r>
          <w:rPr>
            <w:u w:val="single"/>
          </w:rPr>
          <w:t>doi.org/10.5281/zenodo.12626977</w:t>
        </w:r>
      </w:hyperlink>
      <w:r>
        <w:t>) onder de CC-BY 4.0 licentie. We hebben met het IPCC bevestigd dat deze gegevens op deze manier verspreid mogen worden.</w:t>
      </w:r>
    </w:p>
    <w:p>
      <w:r>
        <w:t>[This file was generated by the Embers Explorer 1.4.0 on 2025-08-05.]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68" TargetMode="External"/><Relationship Id="rId11" Type="http://schemas.openxmlformats.org/officeDocument/2006/relationships/hyperlink" Target="https://doi.org/10.1017/9781009157964.007" TargetMode="External"/><Relationship Id="rId12" Type="http://schemas.openxmlformats.org/officeDocument/2006/relationships/hyperlink" Target="https://www.ipcc.ch/site/assets/uploads/sites/3/2022/03/07_SROCC_Ch05_FINAL.pdf" TargetMode="External"/><Relationship Id="rId13" Type="http://schemas.openxmlformats.org/officeDocument/2006/relationships/hyperlink" Target="https://www.ipcc.ch/site/assets/uploads/sites/3/2022/03/SROCC_Ch05-SM_FINAL.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