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Verlies aan biodiversiteit op het land en in zoet water</w:t>
      </w:r>
    </w:p>
    <w:p>
      <w:pPr>
        <w:pStyle w:val="Warning"/>
      </w:pPr>
      <w:r>
        <w:t>Automatische vertaling</w:t>
      </w:r>
    </w:p>
    <w:tbl>
      <w:tblPr>
        <w:tblW w:type="auto" w:w="0"/>
        <w:tblLook w:firstColumn="1" w:firstRow="1" w:lastColumn="0" w:lastRow="0" w:noHBand="0" w:noVBand="1" w:val="04A0"/>
      </w:tblPr>
      <w:tblGrid>
        <w:gridCol w:w="4320"/>
        <w:gridCol w:w="4320"/>
      </w:tblGrid>
      <w:tr>
        <w:tc>
          <w:tcPr>
            <w:tcW w:type="dxa" w:w="6803"/>
          </w:tcPr>
          <w:p>
            <w:r>
              <w:t>Samenvatting van het beoordeelde risico:</w:t>
            </w:r>
          </w:p>
          <w:p>
            <w:r>
              <w:t>Verlies van dier- en plantensoorten uit verschillende ecosystemen wereldwijd, met als gevolg een afname van de integriteit, het functioneren en de veerkracht van ecosystemen [figuur 2.11].</w:t>
            </w:r>
          </w:p>
          <w:p>
            <w:r>
              <w:t>Database id: 70 (</w:t>
            </w:r>
            <w:hyperlink r:id="rId10">
              <w:r>
                <w:rPr>
                  <w:u w:val="single"/>
                </w:rPr>
                <w:t>link</w:t>
              </w:r>
            </w:hyperlink>
            <w:r>
              <w:t>).</w:t>
            </w:r>
          </w:p>
          <w:p>
            <w:r>
              <w:t>Deze sintel is te vinden in de volgende figuur(s):</w:t>
              <w:br/>
            </w:r>
            <w:r>
              <w:t xml:space="preserve">Figure 2.11 of AR6-WGII-Chapter2; </w:t>
            </w:r>
            <w:r>
              <w:br/>
              <w:t>(samenvattingen worden hier in de regel niet vermeld)</w:t>
            </w:r>
          </w:p>
          <w:p>
            <w:pPr>
              <w:pStyle w:val="Notes"/>
            </w:pPr>
            <w:r>
              <w:t>The ember diagram included in this document is based on the assessment provided in the IPCC report and supplementary material listed below, but it does not come from the IPCC; all additional information is provided in view of helping to understand this diagram and is also based on, or reproduced from, the same IPCC sources. Please read the disclaimer notice at the end of this document.</w:t>
            </w:r>
          </w:p>
        </w:tc>
        <w:tc>
          <w:tcPr>
            <w:tcW w:type="dxa" w:w="1701"/>
          </w:tcPr>
          <w:p>
            <w:r>
              <w:drawing>
                <wp:inline xmlns:a="http://schemas.openxmlformats.org/drawingml/2006/main" xmlns:pic="http://schemas.openxmlformats.org/drawingml/2006/picture">
                  <wp:extent cx="1425743" cy="28800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1425743" cy="2880000"/>
                          </a:xfrm>
                          <a:prstGeom prst="rect"/>
                        </pic:spPr>
                      </pic:pic>
                    </a:graphicData>
                  </a:graphic>
                </wp:inline>
              </w:drawing>
            </w:r>
          </w:p>
        </w:tc>
      </w:tr>
    </w:tbl>
    <w:p>
      <w:pPr>
        <w:pStyle w:val="Heading1"/>
      </w:pPr>
      <w:r>
        <w:t>Overgangen: undetectable to moderate</w:t>
      </w:r>
    </w:p>
    <w:tbl>
      <w:tblPr>
        <w:tblStyle w:val="TableGrid"/>
        <w:tblW w:type="auto" w:w="0"/>
        <w:jc w:val="center"/>
        <w:tblLook w:firstColumn="1" w:firstRow="1" w:lastColumn="0" w:lastRow="0" w:noHBand="0" w:noVBand="1" w:val="04A0"/>
      </w:tblPr>
      <w:tblGrid>
        <w:gridCol w:w="2880"/>
        <w:gridCol w:w="2880"/>
        <w:gridCol w:w="2880"/>
      </w:tblGrid>
      <w:tr>
        <w:tc>
          <w:tcPr>
            <w:tcW w:type="dxa" w:w="787"/>
          </w:tcPr>
          <w:p>
            <w:r>
              <w:t>min</w:t>
            </w:r>
          </w:p>
        </w:tc>
        <w:tc>
          <w:tcPr>
            <w:tcW w:type="dxa" w:w="787"/>
          </w:tcPr>
          <w:p>
            <w:r>
              <w:t>0.6</w:t>
            </w:r>
          </w:p>
        </w:tc>
        <w:tc>
          <w:tcPr>
            <w:tcW w:type="dxa" w:w="2362"/>
            <w:vMerge w:val="restart"/>
            <w:vAlign w:val="center"/>
          </w:tcPr>
          <w:p>
            <w:r>
              <w:rPr>
                <w:i/>
              </w:rPr>
              <w:t>high confidence</w:t>
            </w:r>
          </w:p>
        </w:tc>
      </w:tr>
      <w:tr>
        <w:tc>
          <w:tcPr>
            <w:tcW w:type="dxa" w:w="787"/>
          </w:tcPr>
          <w:p>
            <w:r>
              <w:t>max</w:t>
            </w:r>
          </w:p>
        </w:tc>
        <w:tc>
          <w:tcPr>
            <w:tcW w:type="dxa" w:w="787"/>
          </w:tcPr>
          <w:p>
            <w:r>
              <w:t>1.0</w:t>
            </w:r>
          </w:p>
        </w:tc>
        <w:tc>
          <w:tcPr>
            <w:tcW w:type="dxa" w:w="2880"/>
            <w:vMerge/>
          </w:tcPr>
          <w:p/>
        </w:tc>
      </w:tr>
    </w:tbl>
    <w:p>
      <w:r>
        <w:t>Waarnemingen toonden aan dat de eerste soorten &gt;50% van hun verspreidingsgebied verloren als gevolg van klimaatverandering, waardoor ze in de IUCN-categorie 'bedreigd' terechtkwamen. Bij de meest gevoelige soorten werd veel lokaal uitsterven van populaties waargenomen, en het wereldwijde uitsterven van soorten als gevolg van klimaatverandering begint voor het eerst te worden vastgesteld. [Tabel SM2.5, 2.4.2.2]</w:t>
      </w:r>
    </w:p>
    <w:p>
      <w:pPr>
        <w:pStyle w:val="Heading1"/>
      </w:pPr>
      <w:r>
        <w:t>Overgangen: moderate to high</w:t>
      </w:r>
    </w:p>
    <w:tbl>
      <w:tblPr>
        <w:tblStyle w:val="TableGrid"/>
        <w:tblW w:type="auto" w:w="0"/>
        <w:jc w:val="center"/>
        <w:tblLook w:firstColumn="1" w:firstRow="1" w:lastColumn="0" w:lastRow="0" w:noHBand="0" w:noVBand="1" w:val="04A0"/>
      </w:tblPr>
      <w:tblGrid>
        <w:gridCol w:w="2880"/>
        <w:gridCol w:w="2880"/>
        <w:gridCol w:w="2880"/>
      </w:tblGrid>
      <w:tr>
        <w:tc>
          <w:tcPr>
            <w:tcW w:type="dxa" w:w="787"/>
          </w:tcPr>
          <w:p>
            <w:r>
              <w:t>min</w:t>
            </w:r>
          </w:p>
        </w:tc>
        <w:tc>
          <w:tcPr>
            <w:tcW w:type="dxa" w:w="787"/>
          </w:tcPr>
          <w:p>
            <w:r>
              <w:t>0.875</w:t>
            </w:r>
          </w:p>
        </w:tc>
        <w:tc>
          <w:tcPr>
            <w:tcW w:type="dxa" w:w="2362"/>
            <w:vMerge w:val="restart"/>
            <w:vAlign w:val="center"/>
          </w:tcPr>
          <w:p>
            <w:r>
              <w:rPr>
                <w:i/>
              </w:rPr>
              <w:t>medium confidence</w:t>
            </w:r>
          </w:p>
        </w:tc>
      </w:tr>
      <w:tr>
        <w:tc>
          <w:tcPr>
            <w:tcW w:type="dxa" w:w="787"/>
          </w:tcPr>
          <w:p>
            <w:r>
              <w:t>max</w:t>
            </w:r>
          </w:p>
        </w:tc>
        <w:tc>
          <w:tcPr>
            <w:tcW w:type="dxa" w:w="787"/>
          </w:tcPr>
          <w:p>
            <w:r>
              <w:t>2.025</w:t>
            </w:r>
          </w:p>
        </w:tc>
        <w:tc>
          <w:tcPr>
            <w:tcW w:type="dxa" w:w="2880"/>
            <w:vMerge/>
          </w:tcPr>
          <w:p/>
        </w:tc>
      </w:tr>
    </w:tbl>
    <w:p>
      <w:r>
        <w:t>Rond 1,5°C is van enkele taxa bekend dat ze op basis van hun basisbiologie en habitatvereisten een hoog risico op uitsterven lopen (bedreigd). Voor een toenemend aantal taxa wordt verwacht dat meer dan 10% van de soorten een hoog risico op uitsterven zal lopen (dit is 1000 keer de natuurlijke achtergrondsterftempo). [Tabel 2.5]</w:t>
      </w:r>
    </w:p>
    <w:p>
      <w:pPr>
        <w:pStyle w:val="Heading1"/>
      </w:pPr>
      <w:r>
        <w:t>Overgangen: high to very high</w:t>
      </w:r>
    </w:p>
    <w:tbl>
      <w:tblPr>
        <w:tblStyle w:val="TableGrid"/>
        <w:tblW w:type="auto" w:w="0"/>
        <w:jc w:val="center"/>
        <w:tblLook w:firstColumn="1" w:firstRow="1" w:lastColumn="0" w:lastRow="0" w:noHBand="0" w:noVBand="1" w:val="04A0"/>
      </w:tblPr>
      <w:tblGrid>
        <w:gridCol w:w="2880"/>
        <w:gridCol w:w="2880"/>
        <w:gridCol w:w="2880"/>
      </w:tblGrid>
      <w:tr>
        <w:tc>
          <w:tcPr>
            <w:tcW w:type="dxa" w:w="787"/>
          </w:tcPr>
          <w:p>
            <w:r>
              <w:t>min</w:t>
            </w:r>
          </w:p>
        </w:tc>
        <w:tc>
          <w:tcPr>
            <w:tcW w:type="dxa" w:w="787"/>
          </w:tcPr>
          <w:p>
            <w:r>
              <w:t>1.6</w:t>
            </w:r>
          </w:p>
        </w:tc>
        <w:tc>
          <w:tcPr>
            <w:tcW w:type="dxa" w:w="2362"/>
            <w:vMerge w:val="restart"/>
            <w:vAlign w:val="center"/>
          </w:tcPr>
          <w:p>
            <w:r>
              <w:rPr>
                <w:i/>
              </w:rPr>
              <w:t>medium confidence</w:t>
            </w:r>
          </w:p>
        </w:tc>
      </w:tr>
      <w:tr>
        <w:tc>
          <w:tcPr>
            <w:tcW w:type="dxa" w:w="787"/>
          </w:tcPr>
          <w:p>
            <w:r>
              <w:t>max</w:t>
            </w:r>
          </w:p>
        </w:tc>
        <w:tc>
          <w:tcPr>
            <w:tcW w:type="dxa" w:w="787"/>
          </w:tcPr>
          <w:p>
            <w:r>
              <w:t>2.55</w:t>
            </w:r>
          </w:p>
        </w:tc>
        <w:tc>
          <w:tcPr>
            <w:tcW w:type="dxa" w:w="2880"/>
            <w:vMerge/>
          </w:tcPr>
          <w:p/>
        </w:tc>
      </w:tr>
    </w:tbl>
    <w:p>
      <w:r>
        <w:t>Voor een toenemend aantal taxa wordt verwacht dat meer dan 20% van de soorten een hoog risico op uitsterven loopt. In het slechtst denkbare scenario (10e percentiel van de modellen), vertonen sommige taxa &gt;50% van de soorten een hoog risico op uitsterven [Tabel 2.5, Tabel SM2.5, 2.5.1.3].</w:t>
      </w:r>
    </w:p>
    <w:p>
      <w:pPr>
        <w:pStyle w:val="Heading1"/>
      </w:pPr>
      <w:r>
        <w:t>Bijkomende formatie</w:t>
      </w:r>
    </w:p>
    <w:p>
      <w:r>
        <w:t>We hebben de mediaanwaarden, die in SM2.5 worden gegeven, niet opgenomen omdat deze altijd gelijk zijn aan het gemiddelde van min en max: het heeft geen effect op het diagram. De verklaringen die worden gegeven om elke overgang uit te leggen, worden toegekend aan de mediaan (dat wil zeggen, het midden van de overgang).</w:t>
      </w:r>
    </w:p>
    <w:p>
      <w:pPr>
        <w:pStyle w:val="Heading1"/>
      </w:pPr>
      <w:r>
        <w:t>Referentie voor de brongegevens:</w:t>
      </w:r>
    </w:p>
    <w:p>
      <w:r>
        <w:t xml:space="preserve">Parmesan, C., M.D.Morecroft, Y.Trisurat, R.Adrian, G.Z.Anshari, A.Arneth, Q.Gao, P.Gonzalez, R.Harris, J.Price, N. Stevens, and G.H. Talukdarr, 2022: Terrestrial and freshwater ecosystems and their services. In: </w:t>
      </w:r>
      <w:r>
        <w:rPr>
          <w:i/>
        </w:rPr>
        <w:t>Climate Change 2022: Impacts, Adaptation, and Vulnerability. Contribution of Working Group II to the Sixth Assessment Report of the Intergovernmental Panel on Climate Change.</w:t>
      </w:r>
      <w:r>
        <w:t xml:space="preserve"> [Pörtner, H.-O.,  D.C. Roberts, M. Tignor, E.S. Poloczanska, K. Mintenbeck, A. Alegría, M. Craig, S. Langsdorf, S. Löschke, V. Möller, A. Okem, B. Rama (eds.)]. Cambridge University Press, Cambridge, UK and New York, NY, USA, pp. 197-377. </w:t>
      </w:r>
      <w:hyperlink r:id="rId11">
        <w:r>
          <w:rPr>
            <w:u w:val="single"/>
          </w:rPr>
          <w:t>https://doi.org/10.1017/9781009325844.004</w:t>
        </w:r>
      </w:hyperlink>
      <w:r>
        <w:br/>
        <w:t xml:space="preserve">Alternative direct download: </w:t>
      </w:r>
      <w:hyperlink r:id="rId12">
        <w:r>
          <w:rPr>
            <w:u w:val="single"/>
          </w:rPr>
          <w:t>www.ipcc.ch/report/ar6/wg2/downloads/report/IPCC_AR6_WGII_Chapter02.pdf</w:t>
        </w:r>
      </w:hyperlink>
    </w:p>
    <w:p>
      <w:r>
        <w:t xml:space="preserve">Parmesan, C., M.D.Morecroft, Y.Trisurat, R.Adrian, G.Z.Anshari, A.Arneth, Q.Gao, P.Gonzalez, R.Harris, J.Price, N. Stevens, and G.H. Talukdarr, 2022: Terrestrial and freshwater ecosystems and their services Supplementary Material. In: </w:t>
      </w:r>
      <w:r>
        <w:rPr>
          <w:i/>
        </w:rPr>
        <w:t>Climate Change 2022: Impacts, Adaptation, and Vulnerability. Contribution of Working Group II to the Sixth Assessment Report of the Intergovernmental Panel on Climate Change.</w:t>
      </w:r>
      <w:r>
        <w:t xml:space="preserve"> [Pörtner, H.-O.,  D.C. Roberts, M. Tignor, E.S. Poloczanska, K. Mintenbeck, A. Alegría, M. Craig, S. Langsdorf, S. Löschke, V. Möller, A. Okem, B. Rama (eds.)], url: </w:t>
      </w:r>
      <w:hyperlink r:id="rId13">
        <w:r>
          <w:rPr>
            <w:u w:val="single"/>
          </w:rPr>
          <w:t>www.ipcc.ch/report/ar6/wg2/downloads/report/IPCC_AR6_WGII_Chapter02_SM.pdf</w:t>
        </w:r>
      </w:hyperlink>
    </w:p>
    <w:p>
      <w:pPr>
        <w:pStyle w:val="Heading1"/>
      </w:pPr>
      <w:r>
        <w:t>Disclaimer:</w:t>
      </w:r>
    </w:p>
    <w:p>
      <w:r>
        <w:t>Het Embers Explorer project is niet gelieerd aan het IPCC, is niet goedgekeurd of geautoriseerd door het IPCC en is geen IPCC-product. De hierin gepresenteerde figuren zijn geen IPCC figuren, zijn niet onderworpen geweest aan formele IPCC beoordelingsprocessen en zijn niet goedgekeurd door het IPCC. Het IPCC is niet verantwoordelijk voor de nauwkeurigheid ervan.</w:t>
      </w:r>
    </w:p>
    <w:p>
      <w:r>
        <w:t>Er wordt echter alles aan gedaan om ervoor te zorgen dat gegevens die voortkomen uit IPCC-evaluaties hier accuraat worden weergegeven, met bronvermelding.</w:t>
      </w:r>
    </w:p>
    <w:p>
      <w:r>
        <w:t>Een archief van de database waarop deze app is gebaseerd is beschikbaar op Zenodo (</w:t>
      </w:r>
      <w:hyperlink r:id="rId14">
        <w:r>
          <w:rPr>
            <w:u w:val="single"/>
          </w:rPr>
          <w:t>doi.org/10.5281/zenodo.12626977</w:t>
        </w:r>
      </w:hyperlink>
      <w:r>
        <w:t>) onder de CC-BY 4.0 licentie. We hebben met het IPCC bevestigd dat deze gegevens op deze manier verspreid mogen worden.</w:t>
      </w:r>
    </w:p>
    <w:p>
      <w:r>
        <w:t>[This file was generated by the Embers Explorer 1.4.1 on 2026-05-29.]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100"/>
    </w:pPr>
    <w:rPr>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00" w:after="100"/>
      <w:outlineLvl w:val="0"/>
    </w:pPr>
    <w:rPr>
      <w:rFonts w:asciiTheme="majorHAnsi" w:eastAsiaTheme="majorEastAsia" w:hAnsiTheme="majorHAnsi" w:cstheme="majorBidi"/>
      <w:b/>
      <w:bCs/>
      <w:color w:val="365F91" w:themeColor="accent1" w:themeShade="BF"/>
      <w:sz w:val="2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2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tes">
    <w:name w:val="Notes"/>
    <w:rPr>
      <w:color w:val="505050"/>
      <w:sz w:val="18"/>
    </w:rPr>
  </w:style>
  <w:style w:type="paragraph" w:customStyle="1" w:styleId="Warning">
    <w:name w:val="Warning"/>
    <w:rPr>
      <w:color w:val="C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climrisk.org/cree/ember/70" TargetMode="External"/><Relationship Id="rId11" Type="http://schemas.openxmlformats.org/officeDocument/2006/relationships/hyperlink" Target="https://doi.org/10.1017/9781009325844.004" TargetMode="External"/><Relationship Id="rId12" Type="http://schemas.openxmlformats.org/officeDocument/2006/relationships/hyperlink" Target="https://www.ipcc.ch/report/ar6/wg2/downloads/report/IPCC_AR6_WGII_Chapter02.pdf" TargetMode="External"/><Relationship Id="rId13" Type="http://schemas.openxmlformats.org/officeDocument/2006/relationships/hyperlink" Target="https://www.ipcc.ch/report/ar6/wg2/downloads/report/IPCC_AR6_WGII_Chapter02_SM.pdf" TargetMode="External"/><Relationship Id="rId14" Type="http://schemas.openxmlformats.org/officeDocument/2006/relationships/hyperlink" Target="https://doi.org/10.5281/zenodo.126269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