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Australië: koraalriffen - matige aanpassing</w:t>
      </w:r>
    </w:p>
    <w:p>
      <w:pPr>
        <w:pStyle w:val="Warning"/>
      </w:pPr>
      <w:r>
        <w:t>Automatische vertaling</w:t>
      </w:r>
    </w:p>
    <w:tbl>
      <w:tblPr>
        <w:tblW w:type="auto" w:w="0"/>
        <w:tblLook w:firstColumn="1" w:firstRow="1" w:lastColumn="0" w:lastRow="0" w:noHBand="0" w:noVBand="1" w:val="04A0"/>
      </w:tblPr>
      <w:tblGrid>
        <w:gridCol w:w="4320"/>
        <w:gridCol w:w="4320"/>
      </w:tblGrid>
      <w:tr>
        <w:tc>
          <w:tcPr>
            <w:tcW w:type="dxa" w:w="6803"/>
          </w:tcPr>
          <w:p>
            <w:r>
              <w:t>Samenvatting van het beoordeelde risico:</w:t>
            </w:r>
          </w:p>
          <w:p>
            <w:r>
              <w:t>Verlies en achteruitgang van koraalriffen en de daarmee samenhangende biodiversiteit en ecosysteemdiensten in Australië, voornamelijk als gevolg van de opwarming van de oceaan en hittegolven op zee (matige aanpassing) [tabel SM11.2b].</w:t>
            </w:r>
          </w:p>
          <w:p>
            <w:r>
              <w:t>Database id: 95 (</w:t>
            </w:r>
            <w:hyperlink r:id="rId10">
              <w:r>
                <w:rPr>
                  <w:u w:val="single"/>
                </w:rPr>
                <w:t>link</w:t>
              </w:r>
            </w:hyperlink>
            <w:r>
              <w:t>).</w:t>
            </w:r>
            <w:r>
              <w:t xml:space="preserve"> Scenario: Medium adaptation.</w:t>
            </w:r>
          </w:p>
          <w:p>
            <w:r>
              <w:t>Deze sintel is te vinden in de volgende figuur(s):</w:t>
              <w:br/>
            </w:r>
            <w:r>
              <w:t xml:space="preserve">Figure 11.6 of AR6-WGII-Chapter11; </w:t>
            </w:r>
            <w:r>
              <w:br/>
              <w:t>(samenvattingen worden hier in de regel niet vermeld)</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Overgangen: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0.2</w:t>
            </w:r>
          </w:p>
        </w:tc>
        <w:tc>
          <w:tcPr>
            <w:tcW w:type="dxa" w:w="2362"/>
            <w:vMerge w:val="restart"/>
            <w:vAlign w:val="center"/>
          </w:tcPr>
          <w:p>
            <w:r>
              <w:rPr>
                <w:i/>
              </w:rPr>
              <w:t>high confidence</w:t>
            </w:r>
          </w:p>
        </w:tc>
      </w:tr>
      <w:tr>
        <w:tc>
          <w:tcPr>
            <w:tcW w:type="dxa" w:w="787"/>
          </w:tcPr>
          <w:p>
            <w:r>
              <w:t>max</w:t>
            </w:r>
          </w:p>
        </w:tc>
        <w:tc>
          <w:tcPr>
            <w:tcW w:type="dxa" w:w="787"/>
          </w:tcPr>
          <w:p>
            <w:r>
              <w:t>0.4</w:t>
            </w:r>
          </w:p>
        </w:tc>
        <w:tc>
          <w:tcPr>
            <w:tcW w:type="dxa" w:w="2880"/>
            <w:vMerge/>
          </w:tcPr>
          <w:p/>
        </w:tc>
      </w:tr>
    </w:tbl>
    <w:p>
      <w:r>
        <w:t>(Informatie over deze overgang is nog niet beschikbaar)</w:t>
      </w:r>
    </w:p>
    <w:p>
      <w:pPr>
        <w:pStyle w:val="Heading1"/>
      </w:pPr>
      <w:r>
        <w:t>Overgangen: moderate to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0.4</w:t>
            </w:r>
          </w:p>
        </w:tc>
        <w:tc>
          <w:tcPr>
            <w:tcW w:type="dxa" w:w="2362"/>
            <w:vMerge w:val="restart"/>
            <w:vAlign w:val="center"/>
          </w:tcPr>
          <w:p>
            <w:r>
              <w:rPr>
                <w:i/>
              </w:rPr>
              <w:t>high confidence</w:t>
            </w:r>
          </w:p>
        </w:tc>
      </w:tr>
      <w:tr>
        <w:tc>
          <w:tcPr>
            <w:tcW w:type="dxa" w:w="787"/>
          </w:tcPr>
          <w:p>
            <w:r>
              <w:t>max</w:t>
            </w:r>
          </w:p>
        </w:tc>
        <w:tc>
          <w:tcPr>
            <w:tcW w:type="dxa" w:w="787"/>
          </w:tcPr>
          <w:p>
            <w:r>
              <w:t>0.6</w:t>
            </w:r>
          </w:p>
        </w:tc>
        <w:tc>
          <w:tcPr>
            <w:tcW w:type="dxa" w:w="2880"/>
            <w:vMerge/>
          </w:tcPr>
          <w:p/>
        </w:tc>
      </w:tr>
    </w:tbl>
    <w:p>
      <w:r>
        <w:t>(Informatie over deze overgang is nog niet beschikbaar)</w:t>
      </w:r>
    </w:p>
    <w:p>
      <w:pPr>
        <w:pStyle w:val="Heading1"/>
      </w:pPr>
      <w:r>
        <w:t>Overgangen: high to very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1.1</w:t>
            </w:r>
          </w:p>
        </w:tc>
        <w:tc>
          <w:tcPr>
            <w:tcW w:type="dxa" w:w="2362"/>
            <w:vMerge w:val="restart"/>
            <w:vAlign w:val="center"/>
          </w:tcPr>
          <w:p>
            <w:r>
              <w:rPr>
                <w:i/>
              </w:rPr>
              <w:t>high confidence</w:t>
            </w:r>
          </w:p>
        </w:tc>
      </w:tr>
      <w:tr>
        <w:tc>
          <w:tcPr>
            <w:tcW w:type="dxa" w:w="787"/>
          </w:tcPr>
          <w:p>
            <w:r>
              <w:t>max</w:t>
            </w:r>
          </w:p>
        </w:tc>
        <w:tc>
          <w:tcPr>
            <w:tcW w:type="dxa" w:w="787"/>
          </w:tcPr>
          <w:p>
            <w:r>
              <w:t>1.3</w:t>
            </w:r>
          </w:p>
        </w:tc>
        <w:tc>
          <w:tcPr>
            <w:tcW w:type="dxa" w:w="2880"/>
            <w:vMerge/>
          </w:tcPr>
          <w:p/>
        </w:tc>
      </w:tr>
    </w:tbl>
    <w:p>
      <w:r>
        <w:t>(Informatie over deze overgang is nog niet beschikbaar)</w:t>
      </w:r>
    </w:p>
    <w:p>
      <w:pPr>
        <w:pStyle w:val="Heading1"/>
      </w:pPr>
      <w:r>
        <w:t>Referentie voor de brongegevens:</w:t>
      </w:r>
    </w:p>
    <w:p>
      <w:r>
        <w:t xml:space="preserve">Lawrence, J., B. Mackey, F. Chiew, M.J. Costello, K. Hennessy, N. Lansbury, U.B. Nidumolu, G. Pecl, L. Rickards, N. Tapper, A. Woodward, and A. Wreford, 2022: Australasia.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Cambridge University Press, Cambridge, UK and New York, NY, USA, pp. 1581-1688. </w:t>
      </w:r>
      <w:hyperlink r:id="rId11">
        <w:r>
          <w:rPr>
            <w:u w:val="single"/>
          </w:rPr>
          <w:t>https://doi.org/10.1017/9781009325844.013</w:t>
        </w:r>
      </w:hyperlink>
      <w:r>
        <w:br/>
        <w:t xml:space="preserve">Alternative direct download: </w:t>
      </w:r>
      <w:hyperlink r:id="rId12">
        <w:r>
          <w:rPr>
            <w:u w:val="single"/>
          </w:rPr>
          <w:t>www.ipcc.ch/report/ar6/wg2/downloads/report/IPCC_AR6_WGII_Chapter11.pdf</w:t>
        </w:r>
      </w:hyperlink>
    </w:p>
    <w:p>
      <w:r>
        <w:t xml:space="preserve">Lawrence, J., B. Mackey, F. Chiew, M.J. Costello, K. Hennessy, N. Lansbury, U.B. Nidumolu, G. Pecl, L. Rickards, N. Tapper, A. Woodward, and A. Wreford, 2022: Australasia Supplementary Material.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url: </w:t>
      </w:r>
      <w:hyperlink r:id="rId13">
        <w:r>
          <w:rPr>
            <w:u w:val="single"/>
          </w:rPr>
          <w:t>www.ipcc.ch/report/ar6/wg2/downloads/report/IPCC_AR6_WGII_Chapter11_SM.pdf</w:t>
        </w:r>
      </w:hyperlink>
    </w:p>
    <w:p>
      <w:pPr>
        <w:pStyle w:val="Heading1"/>
      </w:pPr>
      <w:r>
        <w:t>Disclaimer:</w:t>
      </w:r>
    </w:p>
    <w:p>
      <w:r>
        <w:t>Het Embers Explorer project is niet gelieerd aan het IPCC, is niet goedgekeurd of geautoriseerd door het IPCC en is geen IPCC-product. De hierin gepresenteerde figuren zijn geen IPCC figuren, zijn niet onderworpen geweest aan formele IPCC beoordelingsprocessen en zijn niet goedgekeurd door het IPCC. Het IPCC is niet verantwoordelijk voor de nauwkeurigheid ervan.</w:t>
      </w:r>
    </w:p>
    <w:p>
      <w:r>
        <w:t>Er wordt echter alles aan gedaan om ervoor te zorgen dat gegevens die voortkomen uit IPCC-evaluaties hier accuraat worden weergegeven, met bronvermelding.</w:t>
      </w:r>
    </w:p>
    <w:p>
      <w:r>
        <w:t>Een archief van de database waarop deze app is gebaseerd is beschikbaar op Zenodo (</w:t>
      </w:r>
      <w:hyperlink r:id="rId14">
        <w:r>
          <w:rPr>
            <w:u w:val="single"/>
          </w:rPr>
          <w:t>doi.org/10.5281/zenodo.12626977</w:t>
        </w:r>
      </w:hyperlink>
      <w:r>
        <w:t>) onder de CC-BY 4.0 licentie. We hebben met het IPCC bevestigd dat deze gegevens op deze manier verspreid mogen worden.</w:t>
      </w:r>
    </w:p>
    <w:p>
      <w:r>
        <w:t>[This file was generated by the Embers Explorer 1.4.0 on 2025-08-02.]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95" TargetMode="External"/><Relationship Id="rId11" Type="http://schemas.openxmlformats.org/officeDocument/2006/relationships/hyperlink" Target="https://doi.org/10.1017/9781009325844.013" TargetMode="External"/><Relationship Id="rId12" Type="http://schemas.openxmlformats.org/officeDocument/2006/relationships/hyperlink" Target="https://www.ipcc.ch/report/ar6/wg2/downloads/report/IPCC_AR6_WGII_Chapter11.pdf" TargetMode="External"/><Relationship Id="rId13" Type="http://schemas.openxmlformats.org/officeDocument/2006/relationships/hyperlink" Target="https://www.ipcc.ch/report/ar6/wg2/downloads/report/IPCC_AR6_WGII_Chapter11_SM.pdf" TargetMode="External"/><Relationship Id="rId14"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